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7F965B02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E3344C">
        <w:rPr>
          <w:rFonts w:asciiTheme="minorBidi" w:hAnsiTheme="minorBidi"/>
          <w:sz w:val="36"/>
          <w:szCs w:val="36"/>
        </w:rPr>
        <w:t>5393/USV-5421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55141590" w14:textId="60EF3466" w:rsidR="001B4F5D" w:rsidRDefault="00E3344C" w:rsidP="004C5A0F">
      <w:pPr>
        <w:rPr>
          <w:rFonts w:asciiTheme="minorBidi" w:hAnsiTheme="minorBidi"/>
        </w:rPr>
      </w:pPr>
      <w:r w:rsidRPr="00E3344C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2B014374" wp14:editId="71B7E1B3">
            <wp:simplePos x="0" y="0"/>
            <wp:positionH relativeFrom="margin">
              <wp:align>left</wp:align>
            </wp:positionH>
            <wp:positionV relativeFrom="paragraph">
              <wp:posOffset>387350</wp:posOffset>
            </wp:positionV>
            <wp:extent cx="6362700" cy="37490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143BF113" w14:textId="221A2AF8" w:rsidR="00E3344C" w:rsidRDefault="00E3344C" w:rsidP="004C5A0F">
      <w:pPr>
        <w:rPr>
          <w:rFonts w:asciiTheme="minorBidi" w:hAnsiTheme="minorBidi"/>
        </w:rPr>
      </w:pPr>
    </w:p>
    <w:p w14:paraId="10016C33" w14:textId="2016E242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</w:t>
      </w:r>
      <w:r w:rsidR="004C5A0F">
        <w:rPr>
          <w:rFonts w:asciiTheme="minorBidi" w:hAnsiTheme="minorBidi"/>
        </w:rPr>
        <w:t>…</w:t>
      </w:r>
      <w:r>
        <w:rPr>
          <w:rFonts w:asciiTheme="minorBidi" w:hAnsiTheme="minorBidi"/>
        </w:rPr>
        <w:t>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4B84375F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E3344C">
        <w:rPr>
          <w:rFonts w:asciiTheme="minorBidi" w:hAnsiTheme="minorBidi"/>
          <w:color w:val="00B0F0"/>
        </w:rPr>
        <w:t>3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11712E25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E3344C">
        <w:rPr>
          <w:rFonts w:asciiTheme="minorBidi" w:hAnsiTheme="minorBidi"/>
          <w:color w:val="00B0F0"/>
        </w:rPr>
        <w:t>15</w:t>
      </w:r>
      <w:r w:rsidR="00403D13">
        <w:rPr>
          <w:rFonts w:asciiTheme="minorBidi" w:hAnsiTheme="minorBidi"/>
          <w:color w:val="00B0F0"/>
        </w:rPr>
        <w:t>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E3344C">
        <w:rPr>
          <w:rFonts w:asciiTheme="minorBidi" w:hAnsiTheme="minorBidi"/>
          <w:color w:val="00B0F0"/>
        </w:rPr>
        <w:t>15</w:t>
      </w:r>
      <w:r w:rsidRPr="0090494B">
        <w:rPr>
          <w:rFonts w:asciiTheme="minorBidi" w:hAnsiTheme="minorBidi"/>
          <w:color w:val="00B0F0"/>
        </w:rPr>
        <w:t>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032C85B2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817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E3344C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E3344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E3344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E3344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E3344C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E3344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E3344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E3344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283DBE3C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0CF3938E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5E6BCA63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63B7C2CF" w:rsidR="0046488A" w:rsidRDefault="00E3344C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4D44F025">
            <wp:simplePos x="0" y="0"/>
            <wp:positionH relativeFrom="margin">
              <wp:posOffset>-90170</wp:posOffset>
            </wp:positionH>
            <wp:positionV relativeFrom="paragraph">
              <wp:posOffset>204470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46C47029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E3344C">
        <w:rPr>
          <w:rFonts w:asciiTheme="minorBidi" w:hAnsiTheme="minorBidi"/>
          <w:color w:val="00B0F0"/>
        </w:rPr>
        <w:t>ball,</w:t>
      </w:r>
      <w:r w:rsidRPr="0090494B">
        <w:rPr>
          <w:rFonts w:asciiTheme="minorBidi" w:hAnsiTheme="minorBidi"/>
          <w:color w:val="00B0F0"/>
        </w:rPr>
        <w:t xml:space="preserve">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</w:t>
      </w:r>
      <w:r w:rsidR="00E3344C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0B215294" w:rsidR="00272912" w:rsidRDefault="00272912" w:rsidP="00E3344C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E3344C">
        <w:rPr>
          <w:rFonts w:asciiTheme="minorBidi" w:hAnsiTheme="minorBidi"/>
          <w:color w:val="00B0F0"/>
          <w:shd w:val="clear" w:color="auto" w:fill="FFFFFF"/>
        </w:rPr>
        <w:t>A 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687FEA">
        <w:rPr>
          <w:rFonts w:asciiTheme="minorBidi" w:hAnsiTheme="minorBidi"/>
          <w:color w:val="00B0F0"/>
          <w:shd w:val="clear" w:color="auto" w:fill="FFFFFF"/>
        </w:rPr>
        <w:t>these applications</w:t>
      </w:r>
      <w:r w:rsidR="00E3344C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2C08B699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E3344C">
        <w:rPr>
          <w:rFonts w:asciiTheme="minorBidi" w:hAnsiTheme="minorBidi"/>
          <w:color w:val="0070C0"/>
          <w:shd w:val="clear" w:color="auto" w:fill="FFFFFF"/>
        </w:rPr>
        <w:t>3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0F7CAD32" w14:textId="77777777" w:rsidR="00E3344C" w:rsidRDefault="00E3344C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6551D59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460F5014" w14:textId="3D0D23BE" w:rsidR="00DB53A9" w:rsidRDefault="00687FEA" w:rsidP="004C5A0F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</w:t>
      </w:r>
      <w:r w:rsidR="004C5A0F">
        <w:rPr>
          <w:rFonts w:asciiTheme="minorBidi" w:hAnsiTheme="minorBidi"/>
          <w:color w:val="0070C0"/>
        </w:rPr>
        <w:t xml:space="preserve">AISI 316 is selected since none of the aforementioned happens. </w:t>
      </w: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7A776D62" w14:textId="77777777" w:rsidR="00E3344C" w:rsidRDefault="0023515B" w:rsidP="0023515B">
      <w:pPr>
        <w:rPr>
          <w:rFonts w:asciiTheme="minorBidi" w:hAnsiTheme="minorBidi"/>
          <w:color w:val="0070C0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E3344C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E3344C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but surprisingly the licensor has </w:t>
      </w:r>
    </w:p>
    <w:p w14:paraId="12FAF301" w14:textId="269698FA" w:rsidR="0023515B" w:rsidRPr="0023515B" w:rsidRDefault="00E3344C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selected IV.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E3344C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E3344C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44C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69AF7BB8" w:rsidR="002C1E55" w:rsidRPr="00D53C37" w:rsidRDefault="002C1E55" w:rsidP="004C5A0F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ought to be selected 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7C15A4D5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E3344C">
        <w:rPr>
          <w:rFonts w:asciiTheme="minorBidi" w:hAnsiTheme="minorBidi"/>
          <w:color w:val="0070C0"/>
        </w:rPr>
        <w:t>14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4DBFB60F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with </w:t>
      </w:r>
      <w:r w:rsidR="000E0FE4" w:rsidRPr="000E0FE4">
        <w:rPr>
          <w:rFonts w:ascii="Arial" w:hAnsi="Arial" w:cs="Arial"/>
          <w:color w:val="0070C0"/>
        </w:rPr>
        <w:t>2oo2 D configuration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8E6B" w14:textId="77777777" w:rsidR="00B270DC" w:rsidRDefault="00B270DC" w:rsidP="00550E73">
      <w:pPr>
        <w:spacing w:after="0" w:line="240" w:lineRule="auto"/>
      </w:pPr>
      <w:r>
        <w:separator/>
      </w:r>
    </w:p>
  </w:endnote>
  <w:endnote w:type="continuationSeparator" w:id="0">
    <w:p w14:paraId="7D7CE4B8" w14:textId="77777777" w:rsidR="00B270DC" w:rsidRDefault="00B270DC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D46D" w14:textId="77777777" w:rsidR="00B270DC" w:rsidRDefault="00B270DC" w:rsidP="00550E73">
      <w:pPr>
        <w:spacing w:after="0" w:line="240" w:lineRule="auto"/>
      </w:pPr>
      <w:r>
        <w:separator/>
      </w:r>
    </w:p>
  </w:footnote>
  <w:footnote w:type="continuationSeparator" w:id="0">
    <w:p w14:paraId="68E48816" w14:textId="77777777" w:rsidR="00B270DC" w:rsidRDefault="00B270DC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13B8F"/>
    <w:rsid w:val="0002661A"/>
    <w:rsid w:val="00042EBD"/>
    <w:rsid w:val="00051208"/>
    <w:rsid w:val="00051273"/>
    <w:rsid w:val="000A3AEC"/>
    <w:rsid w:val="000E0FE4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C5A0F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B5205"/>
    <w:rsid w:val="008E4F35"/>
    <w:rsid w:val="00902F8B"/>
    <w:rsid w:val="0090494B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270D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44C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18</cp:revision>
  <cp:lastPrinted>2023-02-01T14:02:00Z</cp:lastPrinted>
  <dcterms:created xsi:type="dcterms:W3CDTF">2022-10-17T07:24:00Z</dcterms:created>
  <dcterms:modified xsi:type="dcterms:W3CDTF">2023-02-11T14:58:00Z</dcterms:modified>
</cp:coreProperties>
</file>