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77777777" w:rsidR="00B636E6" w:rsidRDefault="00B636E6" w:rsidP="00666E27">
      <w:pPr>
        <w:rPr>
          <w:rFonts w:asciiTheme="minorBidi" w:hAnsiTheme="minorBidi"/>
        </w:rPr>
      </w:pPr>
    </w:p>
    <w:p w14:paraId="35FFE3BD" w14:textId="77777777" w:rsidR="00B20D26" w:rsidRDefault="00B20D26" w:rsidP="00666E27">
      <w:pPr>
        <w:rPr>
          <w:rFonts w:asciiTheme="minorBidi" w:hAnsiTheme="minorBidi"/>
        </w:rPr>
      </w:pPr>
    </w:p>
    <w:p w14:paraId="4367F3CF" w14:textId="77777777" w:rsidR="00B20D26" w:rsidRDefault="00B20D26" w:rsidP="00666E27">
      <w:pPr>
        <w:rPr>
          <w:rFonts w:asciiTheme="minorBidi" w:hAnsiTheme="minorBidi"/>
        </w:rPr>
      </w:pPr>
    </w:p>
    <w:p w14:paraId="763C925E" w14:textId="77777777" w:rsidR="00B20D26" w:rsidRDefault="00B20D26" w:rsidP="00666E27">
      <w:pPr>
        <w:rPr>
          <w:rFonts w:asciiTheme="minorBidi" w:hAnsiTheme="minorBidi"/>
        </w:rPr>
      </w:pPr>
    </w:p>
    <w:p w14:paraId="75F81E25" w14:textId="77777777" w:rsidR="00B20D26" w:rsidRDefault="00B20D26" w:rsidP="00666E27">
      <w:pPr>
        <w:rPr>
          <w:rFonts w:asciiTheme="minorBidi" w:hAnsiTheme="minorBidi"/>
        </w:rPr>
      </w:pPr>
    </w:p>
    <w:p w14:paraId="5F6010CC" w14:textId="77777777" w:rsidR="00B20D26" w:rsidRDefault="00B20D26" w:rsidP="00666E27">
      <w:pPr>
        <w:rPr>
          <w:rFonts w:asciiTheme="minorBidi" w:hAnsiTheme="minorBidi"/>
        </w:rPr>
      </w:pPr>
    </w:p>
    <w:p w14:paraId="2A85C5E8" w14:textId="77777777" w:rsidR="00B20D26" w:rsidRDefault="00B20D26" w:rsidP="00666E27">
      <w:pPr>
        <w:rPr>
          <w:rFonts w:asciiTheme="minorBidi" w:hAnsiTheme="minorBidi"/>
        </w:rPr>
      </w:pPr>
    </w:p>
    <w:p w14:paraId="2C227741" w14:textId="77777777" w:rsidR="00B20D26" w:rsidRDefault="00B20D26" w:rsidP="00666E27">
      <w:pPr>
        <w:rPr>
          <w:rFonts w:asciiTheme="minorBidi" w:hAnsiTheme="minorBidi"/>
        </w:rPr>
      </w:pPr>
    </w:p>
    <w:p w14:paraId="2EF51A52" w14:textId="77777777" w:rsidR="00B20D26" w:rsidRDefault="00B20D26" w:rsidP="00666E27">
      <w:pPr>
        <w:rPr>
          <w:rFonts w:asciiTheme="minorBidi" w:hAnsiTheme="minorBidi"/>
        </w:rPr>
      </w:pPr>
    </w:p>
    <w:p w14:paraId="679D6D57" w14:textId="77777777" w:rsidR="00B20D26" w:rsidRDefault="00B20D26" w:rsidP="00666E27">
      <w:pPr>
        <w:rPr>
          <w:rFonts w:asciiTheme="minorBidi" w:hAnsiTheme="minorBidi"/>
        </w:rPr>
      </w:pPr>
    </w:p>
    <w:p w14:paraId="332E08DF" w14:textId="77777777" w:rsidR="00B20D26" w:rsidRDefault="00B20D26" w:rsidP="00666E27">
      <w:pPr>
        <w:rPr>
          <w:rFonts w:asciiTheme="minorBidi" w:hAnsiTheme="minorBidi"/>
        </w:rPr>
      </w:pPr>
    </w:p>
    <w:p w14:paraId="794379D8" w14:textId="77777777" w:rsidR="00B20D26" w:rsidRDefault="00B20D26" w:rsidP="00666E27">
      <w:pPr>
        <w:rPr>
          <w:rFonts w:asciiTheme="minorBidi" w:hAnsiTheme="minorBidi"/>
        </w:rPr>
      </w:pPr>
    </w:p>
    <w:p w14:paraId="0055884E" w14:textId="275B423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  <w:r w:rsidRPr="00B20D26">
        <w:rPr>
          <w:rFonts w:asciiTheme="minorBidi" w:hAnsiTheme="minorBidi"/>
          <w:sz w:val="36"/>
          <w:szCs w:val="36"/>
        </w:rPr>
        <w:t>Storage Tank Material Selection</w:t>
      </w:r>
    </w:p>
    <w:p w14:paraId="59ED8BA5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3F98883A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29B7AEA7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41F65742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632DC697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1FF49E73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7AAA5350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244DDB5E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4FFB72FC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7D85B115" w14:textId="77777777" w:rsidR="00B20D26" w:rsidRDefault="00B20D26" w:rsidP="00B20D26">
      <w:pPr>
        <w:jc w:val="center"/>
        <w:rPr>
          <w:rFonts w:asciiTheme="minorBidi" w:hAnsiTheme="minorBidi"/>
          <w:sz w:val="36"/>
          <w:szCs w:val="36"/>
        </w:rPr>
      </w:pPr>
    </w:p>
    <w:p w14:paraId="02EEACD6" w14:textId="741D1210" w:rsidR="00B20D26" w:rsidRDefault="00B20D26" w:rsidP="00B20D2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B20D26">
        <w:rPr>
          <w:rFonts w:asciiTheme="minorBidi" w:hAnsiTheme="minorBidi"/>
        </w:rPr>
        <w:lastRenderedPageBreak/>
        <w:t>Storage tanks built in accordance with API 650 commonly are made of mild steel. API 653 contains</w:t>
      </w:r>
      <w:r>
        <w:rPr>
          <w:rFonts w:asciiTheme="minorBidi" w:hAnsiTheme="minorBidi"/>
        </w:rPr>
        <w:t xml:space="preserve"> </w:t>
      </w:r>
      <w:r w:rsidRPr="00B20D26">
        <w:rPr>
          <w:rFonts w:asciiTheme="minorBidi" w:hAnsiTheme="minorBidi"/>
        </w:rPr>
        <w:t>requirements for tank inspection, repair, alteration and reconstruction. As discussed in Chapter 1, as a minimum</w:t>
      </w:r>
      <w:r>
        <w:rPr>
          <w:rFonts w:asciiTheme="minorBidi" w:hAnsiTheme="minorBidi"/>
        </w:rPr>
        <w:t xml:space="preserve"> </w:t>
      </w:r>
      <w:r w:rsidRPr="00B20D26">
        <w:rPr>
          <w:rFonts w:asciiTheme="minorBidi" w:hAnsiTheme="minorBidi"/>
        </w:rPr>
        <w:t>1.5 mm (1/16 in.) corrosion allowance normally is specified for storage tanks. Where experience</w:t>
      </w:r>
      <w:r>
        <w:rPr>
          <w:rFonts w:asciiTheme="minorBidi" w:hAnsiTheme="minorBidi"/>
        </w:rPr>
        <w:t xml:space="preserve"> </w:t>
      </w:r>
      <w:r w:rsidRPr="00B20D26">
        <w:rPr>
          <w:rFonts w:asciiTheme="minorBidi" w:hAnsiTheme="minorBidi"/>
        </w:rPr>
        <w:t>indicates a 1.5 mm (1/16 in.) corrosion allowance is not adequate, internal linings usually are specified.</w:t>
      </w:r>
      <w:r>
        <w:rPr>
          <w:rFonts w:asciiTheme="minorBidi" w:hAnsiTheme="minorBidi"/>
        </w:rPr>
        <w:t xml:space="preserve"> </w:t>
      </w:r>
      <w:r w:rsidRPr="00B20D26">
        <w:rPr>
          <w:rFonts w:asciiTheme="minorBidi" w:hAnsiTheme="minorBidi"/>
        </w:rPr>
        <w:t xml:space="preserve">Where tanks are lined internally and painted externally, a </w:t>
      </w:r>
      <w:r w:rsidRPr="00B20D26">
        <w:rPr>
          <w:rFonts w:asciiTheme="minorBidi" w:hAnsiTheme="minorBidi"/>
        </w:rPr>
        <w:t>zero-corrosion</w:t>
      </w:r>
      <w:r w:rsidRPr="00B20D26">
        <w:rPr>
          <w:rFonts w:asciiTheme="minorBidi" w:hAnsiTheme="minorBidi"/>
        </w:rPr>
        <w:t xml:space="preserve"> allowance often is specified. Notch</w:t>
      </w:r>
      <w:r>
        <w:rPr>
          <w:rFonts w:asciiTheme="minorBidi" w:hAnsiTheme="minorBidi"/>
        </w:rPr>
        <w:t xml:space="preserve"> </w:t>
      </w:r>
      <w:r w:rsidRPr="00B20D26">
        <w:rPr>
          <w:rFonts w:asciiTheme="minorBidi" w:hAnsiTheme="minorBidi"/>
        </w:rPr>
        <w:t>tough steel is required when the design metal temperature is 10°C (50°F) or below (lowest one-day mean</w:t>
      </w:r>
      <w:r>
        <w:rPr>
          <w:rFonts w:asciiTheme="minorBidi" w:hAnsiTheme="minorBidi"/>
        </w:rPr>
        <w:t xml:space="preserve"> </w:t>
      </w:r>
      <w:r w:rsidRPr="00B20D26">
        <w:rPr>
          <w:rFonts w:asciiTheme="minorBidi" w:hAnsiTheme="minorBidi"/>
        </w:rPr>
        <w:t>temperature of 2°C [35"F] or below). High-strength steels sometimes are used in large diameter tanks to</w:t>
      </w:r>
      <w:r>
        <w:rPr>
          <w:rFonts w:asciiTheme="minorBidi" w:hAnsiTheme="minorBidi"/>
        </w:rPr>
        <w:t xml:space="preserve"> </w:t>
      </w:r>
      <w:r w:rsidRPr="00B20D26">
        <w:rPr>
          <w:rFonts w:asciiTheme="minorBidi" w:hAnsiTheme="minorBidi"/>
        </w:rPr>
        <w:t>minimize cost by reducing the required thickness. Care should be exercised when selecting high-strength</w:t>
      </w:r>
      <w:r>
        <w:rPr>
          <w:rFonts w:asciiTheme="minorBidi" w:hAnsiTheme="minorBidi"/>
        </w:rPr>
        <w:t xml:space="preserve"> </w:t>
      </w:r>
      <w:r w:rsidRPr="00B20D26">
        <w:rPr>
          <w:rFonts w:asciiTheme="minorBidi" w:hAnsiTheme="minorBidi"/>
        </w:rPr>
        <w:t>steels for fluids containing hydrogen sulfide because of the potential for SSC. As a minimum, the hardness</w:t>
      </w:r>
      <w:r>
        <w:rPr>
          <w:rFonts w:asciiTheme="minorBidi" w:hAnsiTheme="minorBidi"/>
        </w:rPr>
        <w:t xml:space="preserve"> </w:t>
      </w:r>
      <w:r w:rsidRPr="00B20D26">
        <w:rPr>
          <w:rFonts w:asciiTheme="minorBidi" w:hAnsiTheme="minorBidi"/>
        </w:rPr>
        <w:t>of the welds should meet NACE RP0472.</w:t>
      </w:r>
    </w:p>
    <w:p w14:paraId="456597F7" w14:textId="77777777" w:rsidR="00B20D26" w:rsidRDefault="00B20D26" w:rsidP="00B20D26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832C789" w14:textId="77777777" w:rsidR="00B20D26" w:rsidRDefault="00B20D26" w:rsidP="00BA2D4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BA2D49">
        <w:rPr>
          <w:rFonts w:asciiTheme="minorBidi" w:hAnsiTheme="minorBidi"/>
        </w:rPr>
        <w:t>Corrosion in Petroleum Storage Tanks</w:t>
      </w:r>
    </w:p>
    <w:p w14:paraId="18CFA79D" w14:textId="77777777" w:rsidR="00023959" w:rsidRPr="00BA2D49" w:rsidRDefault="00023959" w:rsidP="00BA2D4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8F92E77" w14:textId="716BB811" w:rsidR="00B20D26" w:rsidRDefault="00B20D26" w:rsidP="00BA2D4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BA2D49">
        <w:rPr>
          <w:rFonts w:asciiTheme="minorBidi" w:hAnsiTheme="minorBidi"/>
        </w:rPr>
        <w:t>Corrosion in atmospheric storage tanks can be divided into three zones: (1) the tank roof, (2) the walls,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and (3) the bottom. Corrosion on the underside of the tank roof is controlled by the relative amount of air and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hydrogen sulfide, as well as the temperature. As can be seen in Figure 5.26,18 the worst condition is 0.5%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hydrogen sulfide. Inorganic zinc coatings are used most commonly for corrosion protection of the roof area.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Inert gas blankets also can be used to prevent corrosion in cone roof tanks.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The corrosion rate as a function of tank wall height is shown in Figure 5.27.18 Corrosion in light (API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density 50 degrees or lighter) is higher than in heavier products because oxygen solubility is higher. Corrosion</w:t>
      </w:r>
      <w:r w:rsid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is high in the 80% to 90% level of the side wall due to the mechanism shown in Figure 5.28.18 In floating</w:t>
      </w:r>
      <w:r w:rsid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roof tanks, corrosion is found in the area where the major travel of the floating roof occurs (often this is</w:t>
      </w:r>
      <w:r w:rsid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halfway up the tank</w:t>
      </w:r>
      <w:proofErr w:type="gramStart"/>
      <w:r w:rsidRPr="00BA2D49">
        <w:rPr>
          <w:rFonts w:asciiTheme="minorBidi" w:hAnsiTheme="minorBidi"/>
        </w:rPr>
        <w:t>).I</w:t>
      </w:r>
      <w:proofErr w:type="gramEnd"/>
      <w:r w:rsidRPr="00BA2D49">
        <w:rPr>
          <w:rFonts w:asciiTheme="minorBidi" w:hAnsiTheme="minorBidi"/>
        </w:rPr>
        <w:t>8,l9This</w:t>
      </w:r>
      <w:r w:rsidR="0002395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corrosion is a result of the oxygen that enters the tank around the roof seals,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concentrating in the water layers on the gasoline just beneath the floating roofs. The scale formed in this area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is then scraped away by the moving roof, exposing fresh metal to attack. Coatings usually are used to solve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this corrosion problem.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Tank bottom corrosion is a function of the water layer that exists on the bottom of most tanks. The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presence of sulfate-reducing bacteria, characterized by shiny pits, is more of a problem in heavy stocks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because oxygen cannot get to the bottom. Tank bottom corrosion is controlled by coatings and by draining</w:t>
      </w:r>
      <w:r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the water from the tank bottom periodically. API RP 652 contains recommendations on lining above-ground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petroleum storage tank bottoms. Both epoxy and polyester coatings reinforced with chopped glass fiber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have been used successfully in places where severe corrosion has occurred. For new tanks in which corrosion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is expected, coal tar epoxy usually is specified for the bottom. When the tank is on soil or other conductive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media and water cannot be prevented from contacting the underside of the tank bottom, cathodic protection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in accordance with NACE RP0193 normally is applied.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In some locations double bottoms have been used in tanks to minimize leaks into the ground and to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facilitate leak detection. The space between the two bottoms often is filled with sand. If the double bottom is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a retrofit, accelerated corrosion of the new steel can occur because of the difference in corrosion potential of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the new bare material and the old corroded material. Since it is almost impossible to seal the space between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the two bottoms, a cathodic protection system usually is used to prevent corrosion. Impressed current cathodic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protection is preferred over a sacrificial system because the current requirements often are higher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than that which can be obtained from sacrificial anodes. Further information on double bottom tanks is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 xml:space="preserve">contained in Meyers20and </w:t>
      </w:r>
      <w:proofErr w:type="spellStart"/>
      <w:proofErr w:type="gramStart"/>
      <w:r w:rsidRPr="00BA2D49">
        <w:rPr>
          <w:rFonts w:asciiTheme="minorBidi" w:hAnsiTheme="minorBidi"/>
        </w:rPr>
        <w:t>McJones</w:t>
      </w:r>
      <w:proofErr w:type="spellEnd"/>
      <w:r w:rsidRPr="00BA2D49">
        <w:rPr>
          <w:rFonts w:asciiTheme="minorBidi" w:hAnsiTheme="minorBidi"/>
        </w:rPr>
        <w:t>.*</w:t>
      </w:r>
      <w:proofErr w:type="gramEnd"/>
      <w:r w:rsidRPr="00BA2D49">
        <w:rPr>
          <w:rFonts w:asciiTheme="minorBidi" w:hAnsiTheme="minorBidi"/>
        </w:rPr>
        <w:t>' More details on design and corrosion of tanks are contained in Menick22</w:t>
      </w:r>
      <w:r w:rsidR="00BA2D49" w:rsidRPr="00BA2D49">
        <w:rPr>
          <w:rFonts w:asciiTheme="minorBidi" w:hAnsiTheme="minorBidi"/>
        </w:rPr>
        <w:t xml:space="preserve"> </w:t>
      </w:r>
      <w:r w:rsidRPr="00BA2D49">
        <w:rPr>
          <w:rFonts w:asciiTheme="minorBidi" w:hAnsiTheme="minorBidi"/>
        </w:rPr>
        <w:t>and Meyers.</w:t>
      </w:r>
    </w:p>
    <w:p w14:paraId="3C9AFAD2" w14:textId="77777777" w:rsidR="00BA2D49" w:rsidRDefault="00BA2D49" w:rsidP="00BA2D4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D82138D" w14:textId="77777777" w:rsidR="00023959" w:rsidRDefault="00023959" w:rsidP="0002395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3"/>
          <w:szCs w:val="23"/>
        </w:rPr>
      </w:pPr>
      <w:r w:rsidRPr="00023959">
        <w:rPr>
          <w:rFonts w:asciiTheme="minorBidi" w:hAnsiTheme="minorBidi"/>
          <w:sz w:val="23"/>
          <w:szCs w:val="23"/>
        </w:rPr>
        <w:lastRenderedPageBreak/>
        <w:t>Low-Pressure, Low-Temperature Tanks</w:t>
      </w:r>
    </w:p>
    <w:p w14:paraId="5D9990C8" w14:textId="77777777" w:rsidR="00023959" w:rsidRPr="00023959" w:rsidRDefault="00023959" w:rsidP="0002395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sz w:val="23"/>
          <w:szCs w:val="23"/>
        </w:rPr>
      </w:pPr>
    </w:p>
    <w:p w14:paraId="19B2D49E" w14:textId="681CC7CB" w:rsidR="00BA2D49" w:rsidRDefault="00023959" w:rsidP="0002395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23959">
        <w:rPr>
          <w:rFonts w:asciiTheme="minorBidi" w:hAnsiTheme="minorBidi"/>
        </w:rPr>
        <w:t>Liquid ammonia, liquefied propane gas (LPG), and liquefied natural gas (LNG) would not be expected</w:t>
      </w:r>
      <w:r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to cause corrosion problems since they are stored at low temperatures (-33"C, -42"C, and -162OC [-28"</w:t>
      </w:r>
      <w:proofErr w:type="gramStart"/>
      <w:r w:rsidRPr="00023959">
        <w:rPr>
          <w:rFonts w:asciiTheme="minorBidi" w:hAnsiTheme="minorBidi"/>
        </w:rPr>
        <w:t>F,</w:t>
      </w:r>
      <w:r w:rsidRPr="00023959">
        <w:rPr>
          <w:rFonts w:asciiTheme="minorBidi" w:hAnsiTheme="minorBidi"/>
          <w:sz w:val="24"/>
          <w:szCs w:val="24"/>
        </w:rPr>
        <w:t>-</w:t>
      </w:r>
      <w:proofErr w:type="gramEnd"/>
      <w:r w:rsidRPr="00023959">
        <w:rPr>
          <w:rFonts w:asciiTheme="minorBidi" w:hAnsiTheme="minorBidi"/>
          <w:sz w:val="24"/>
          <w:szCs w:val="24"/>
        </w:rPr>
        <w:t>40"F,</w:t>
      </w:r>
      <w:r w:rsidRPr="00023959">
        <w:rPr>
          <w:rFonts w:asciiTheme="minorBidi" w:hAnsiTheme="minorBidi"/>
        </w:rPr>
        <w:t xml:space="preserve">a nd </w:t>
      </w:r>
      <w:r w:rsidRPr="00023959">
        <w:rPr>
          <w:rFonts w:asciiTheme="minorBidi" w:hAnsiTheme="minorBidi"/>
          <w:sz w:val="23"/>
          <w:szCs w:val="23"/>
        </w:rPr>
        <w:t xml:space="preserve">-260"FI </w:t>
      </w:r>
      <w:r w:rsidRPr="00023959">
        <w:rPr>
          <w:rFonts w:asciiTheme="minorBidi" w:hAnsiTheme="minorBidi"/>
        </w:rPr>
        <w:t xml:space="preserve">respectively). However, there have been reports of SCC in fully refrigerated (-33°C </w:t>
      </w:r>
      <w:r w:rsidRPr="00023959">
        <w:rPr>
          <w:rFonts w:asciiTheme="minorBidi" w:hAnsiTheme="minorBidi"/>
          <w:sz w:val="23"/>
          <w:szCs w:val="23"/>
        </w:rPr>
        <w:t>[-F])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liquid ammonia storage tanks. Cantwell has reported SCC of LPG spheres as a result of trace amounts of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hydrogen sulfide in the LPG.23 The primary concern in storing these fluids has been resistance to brittle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fracture. Appendix A lists common materials suitable for the low temperatures at which these fluids are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 xml:space="preserve">stored. More detailed requirements for liquid ammonia and LPG tanks are contained in Appendix </w:t>
      </w:r>
      <w:r w:rsidRPr="00023959">
        <w:rPr>
          <w:rFonts w:asciiTheme="minorBidi" w:hAnsiTheme="minorBidi"/>
          <w:sz w:val="23"/>
          <w:szCs w:val="23"/>
        </w:rPr>
        <w:t xml:space="preserve">R </w:t>
      </w:r>
      <w:r w:rsidRPr="00023959">
        <w:rPr>
          <w:rFonts w:asciiTheme="minorBidi" w:hAnsiTheme="minorBidi"/>
        </w:rPr>
        <w:t>of API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 xml:space="preserve">620 and in BS 7777. More detailed requirements for LNG tanks are contained in Appendix </w:t>
      </w:r>
      <w:r w:rsidRPr="00023959">
        <w:rPr>
          <w:rFonts w:asciiTheme="minorBidi" w:hAnsiTheme="minorBidi"/>
          <w:sz w:val="21"/>
          <w:szCs w:val="21"/>
        </w:rPr>
        <w:t xml:space="preserve">Q </w:t>
      </w:r>
      <w:r w:rsidRPr="00023959">
        <w:rPr>
          <w:rFonts w:asciiTheme="minorBidi" w:hAnsiTheme="minorBidi"/>
        </w:rPr>
        <w:t>of API 620 and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in BS 7777. Ultrafine grain materials for LPG tanks must be used with caution because failure can result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from excessive weld repair, which causes strain damage in the base metal.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 xml:space="preserve">There have been a few </w:t>
      </w:r>
      <w:proofErr w:type="gramStart"/>
      <w:r w:rsidRPr="00023959">
        <w:rPr>
          <w:rFonts w:asciiTheme="minorBidi" w:hAnsiTheme="minorBidi"/>
        </w:rPr>
        <w:t>steel</w:t>
      </w:r>
      <w:proofErr w:type="gramEnd"/>
      <w:r w:rsidRPr="00023959">
        <w:rPr>
          <w:rFonts w:asciiTheme="minorBidi" w:hAnsiTheme="minorBidi"/>
        </w:rPr>
        <w:t xml:space="preserve"> wire-wrapped concrete tanks used for LNG; however, the majority are of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double-wall construction. The three basic types of double wall tanks in order of increasing cost are: 1) single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containment, 2) double containment, and 3) full containment. The most commonly used type is the single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containment shown in Figure 5.29. The single containment tank has a carbon steel outer wall (designed for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atmosphere temperature), which is separated from the inner tank by foamed fiberglass (to absorb expansion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and contraction) and perlite insulation. An example of a double containment type would be one with a</w:t>
      </w:r>
      <w:r w:rsidRPr="00023959">
        <w:rPr>
          <w:rFonts w:asciiTheme="minorBidi" w:hAnsiTheme="minorBidi"/>
          <w:sz w:val="23"/>
          <w:szCs w:val="23"/>
        </w:rPr>
        <w:t xml:space="preserve"> </w:t>
      </w:r>
      <w:r w:rsidRPr="00023959">
        <w:rPr>
          <w:rFonts w:asciiTheme="minorBidi" w:hAnsiTheme="minorBidi"/>
        </w:rPr>
        <w:t>prestressed concrete outer wall either separated from the carbon steel outer wall or lined with carbon steel.</w:t>
      </w:r>
    </w:p>
    <w:p w14:paraId="7186D151" w14:textId="48709DED" w:rsidR="00023959" w:rsidRPr="00023959" w:rsidRDefault="00023959" w:rsidP="0002395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23959">
        <w:rPr>
          <w:rFonts w:asciiTheme="minorBidi" w:hAnsiTheme="minorBidi"/>
        </w:rPr>
        <w:t>An example of a full containment type is one that has a reinforced concrete roof and a prestressed concrete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outer wall. The inner tank on all three types is made of either 9% nickel steel (usually economical for large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 xml:space="preserve">tanks), 304 </w:t>
      </w:r>
      <w:r w:rsidRPr="00023959">
        <w:rPr>
          <w:rFonts w:asciiTheme="minorBidi" w:hAnsiTheme="minorBidi"/>
          <w:i/>
          <w:iCs/>
        </w:rPr>
        <w:t xml:space="preserve">SS </w:t>
      </w:r>
      <w:r w:rsidRPr="00023959">
        <w:rPr>
          <w:rFonts w:asciiTheme="minorBidi" w:hAnsiTheme="minorBidi"/>
        </w:rPr>
        <w:t xml:space="preserve">(UNS S30400), </w:t>
      </w:r>
      <w:r w:rsidRPr="00023959">
        <w:rPr>
          <w:rFonts w:asciiTheme="minorBidi" w:hAnsiTheme="minorBidi"/>
          <w:sz w:val="23"/>
          <w:szCs w:val="23"/>
        </w:rPr>
        <w:t xml:space="preserve">or </w:t>
      </w:r>
      <w:r w:rsidRPr="00023959">
        <w:rPr>
          <w:rFonts w:asciiTheme="minorBidi" w:hAnsiTheme="minorBidi"/>
        </w:rPr>
        <w:t>aluminum (usually economical for small tanks).</w:t>
      </w:r>
    </w:p>
    <w:p w14:paraId="3C07E0F1" w14:textId="24F32E77" w:rsidR="00023959" w:rsidRPr="00023959" w:rsidRDefault="00023959" w:rsidP="0002395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23959">
        <w:rPr>
          <w:rFonts w:asciiTheme="minorBidi" w:hAnsiTheme="minorBidi"/>
        </w:rPr>
        <w:t xml:space="preserve">Nine percent nickel steel usually is used </w:t>
      </w:r>
      <w:r w:rsidRPr="00023959">
        <w:rPr>
          <w:rFonts w:asciiTheme="minorBidi" w:hAnsiTheme="minorBidi"/>
          <w:sz w:val="21"/>
          <w:szCs w:val="21"/>
        </w:rPr>
        <w:t xml:space="preserve">in </w:t>
      </w:r>
      <w:r w:rsidRPr="00023959">
        <w:rPr>
          <w:rFonts w:asciiTheme="minorBidi" w:hAnsiTheme="minorBidi"/>
        </w:rPr>
        <w:t>the quenched and tempered condition. Modem steelmaking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practices have made it possible to obtain high fracture toughness in 9% nickel steel. A Charpy V-notch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impact strength of 100 J (74 ft-</w:t>
      </w:r>
      <w:proofErr w:type="spellStart"/>
      <w:r w:rsidRPr="00023959">
        <w:rPr>
          <w:rFonts w:asciiTheme="minorBidi" w:hAnsiTheme="minorBidi"/>
        </w:rPr>
        <w:t>lbs</w:t>
      </w:r>
      <w:proofErr w:type="spellEnd"/>
      <w:r w:rsidRPr="00023959">
        <w:rPr>
          <w:rFonts w:asciiTheme="minorBidi" w:hAnsiTheme="minorBidi"/>
        </w:rPr>
        <w:t>) at -196°C (-320°F) now commonly is specified. Tempering should be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 xml:space="preserve">done at 580"C+ 6°C (1,075"F </w:t>
      </w:r>
      <w:r w:rsidRPr="00023959">
        <w:rPr>
          <w:rFonts w:asciiTheme="minorBidi" w:hAnsiTheme="minorBidi"/>
          <w:sz w:val="19"/>
          <w:szCs w:val="19"/>
        </w:rPr>
        <w:t xml:space="preserve">f. </w:t>
      </w:r>
      <w:r w:rsidRPr="00023959">
        <w:rPr>
          <w:rFonts w:asciiTheme="minorBidi" w:hAnsiTheme="minorBidi"/>
        </w:rPr>
        <w:t xml:space="preserve">10°F). Below </w:t>
      </w:r>
      <w:r w:rsidRPr="00023959">
        <w:rPr>
          <w:rFonts w:asciiTheme="minorBidi" w:hAnsiTheme="minorBidi"/>
          <w:sz w:val="21"/>
          <w:szCs w:val="21"/>
        </w:rPr>
        <w:t xml:space="preserve">565°C </w:t>
      </w:r>
      <w:r w:rsidRPr="00023959">
        <w:rPr>
          <w:rFonts w:asciiTheme="minorBidi" w:hAnsiTheme="minorBidi"/>
        </w:rPr>
        <w:t>(1 ,050"F), temper embrittlement can result; above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595°C (1,100"F), austenite will form and upon cooling transform to martensite, thereby lowering the toughness.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For 9% nickel steel with thicknesses greater than 25.4 mm (1 in.), fracture mechanics testing should be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considered to determine the maximum allowable flaw size. The maximum thickness where good properties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can be obtained is 51 mm (2 in.). The minimum thickness should be 9.5 mm (3/8 in.) because of the potential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for warpage from the severe blasting required for descaling 9% nickel steel.</w:t>
      </w:r>
    </w:p>
    <w:p w14:paraId="49F69878" w14:textId="05C9ABB7" w:rsidR="00023959" w:rsidRDefault="00023959" w:rsidP="0002395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023959">
        <w:rPr>
          <w:rFonts w:asciiTheme="minorBidi" w:hAnsiTheme="minorBidi"/>
        </w:rPr>
        <w:t>Using fracture mechanics testing or BS 7777, design stresses can exceed those allowed by API 620,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 xml:space="preserve">Appendix Q (218.6 MPa [31.7 </w:t>
      </w:r>
      <w:proofErr w:type="spellStart"/>
      <w:r w:rsidRPr="00023959">
        <w:rPr>
          <w:rFonts w:asciiTheme="minorBidi" w:hAnsiTheme="minorBidi"/>
        </w:rPr>
        <w:t>ksi</w:t>
      </w:r>
      <w:proofErr w:type="spellEnd"/>
      <w:r w:rsidRPr="00023959">
        <w:rPr>
          <w:rFonts w:asciiTheme="minorBidi" w:hAnsiTheme="minorBidi"/>
        </w:rPr>
        <w:t>]). In these cases, the allowable stress is limited to two-thirds of the yield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strength. Although the allowable stresses in BS 7777 are higher than in API 620, Appendix Q, the wall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thickness of a tank designed to BS 7777 is thicker than that required by API 620, Appendix Q. This is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because BS 7777 requires a full height hydrostatic test while API 620, Appendix Q requires only a partial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 xml:space="preserve">height hydrostatic test to 1.25 times the </w:t>
      </w:r>
      <w:r w:rsidRPr="00023959">
        <w:rPr>
          <w:rFonts w:asciiTheme="minorBidi" w:hAnsiTheme="minorBidi"/>
          <w:sz w:val="25"/>
          <w:szCs w:val="25"/>
        </w:rPr>
        <w:t xml:space="preserve">LNG </w:t>
      </w:r>
      <w:r w:rsidRPr="00023959">
        <w:rPr>
          <w:rFonts w:asciiTheme="minorBidi" w:hAnsiTheme="minorBidi"/>
        </w:rPr>
        <w:t xml:space="preserve">load. Because of long successful service of tanks designed </w:t>
      </w:r>
      <w:r w:rsidRPr="00023959">
        <w:rPr>
          <w:rFonts w:asciiTheme="minorBidi" w:hAnsiTheme="minorBidi"/>
          <w:sz w:val="21"/>
          <w:szCs w:val="21"/>
        </w:rPr>
        <w:t>to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API 620, Appendix Q, there is a trend in the industry away from the full height hydrostatic test.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 xml:space="preserve">Since the 65Ni-15Cr-Fe weld metal normally used to join </w:t>
      </w:r>
      <w:r w:rsidRPr="00023959">
        <w:rPr>
          <w:rFonts w:asciiTheme="minorBidi" w:hAnsiTheme="minorBidi"/>
          <w:sz w:val="23"/>
          <w:szCs w:val="23"/>
        </w:rPr>
        <w:t xml:space="preserve">9% </w:t>
      </w:r>
      <w:r w:rsidRPr="00023959">
        <w:rPr>
          <w:rFonts w:asciiTheme="minorBidi" w:hAnsiTheme="minorBidi"/>
        </w:rPr>
        <w:t>nickel is weaker than the base metal, the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>yield strength of the weld metal limits the allowable design stress. The maximum yield strength currently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 xml:space="preserve">attainable with 65Ni-15Cr-Fe </w:t>
      </w:r>
      <w:r w:rsidRPr="00023959">
        <w:rPr>
          <w:rFonts w:asciiTheme="minorBidi" w:hAnsiTheme="minorBidi"/>
        </w:rPr>
        <w:lastRenderedPageBreak/>
        <w:t xml:space="preserve">filler metal is 414 MPa (60 </w:t>
      </w:r>
      <w:proofErr w:type="spellStart"/>
      <w:r w:rsidRPr="00023959">
        <w:rPr>
          <w:rFonts w:asciiTheme="minorBidi" w:hAnsiTheme="minorBidi"/>
        </w:rPr>
        <w:t>ksi</w:t>
      </w:r>
      <w:proofErr w:type="spellEnd"/>
      <w:r w:rsidRPr="00023959">
        <w:rPr>
          <w:rFonts w:asciiTheme="minorBidi" w:hAnsiTheme="minorBidi"/>
        </w:rPr>
        <w:t xml:space="preserve">). The 414 MPa </w:t>
      </w:r>
      <w:r w:rsidRPr="00023959">
        <w:rPr>
          <w:rFonts w:asciiTheme="minorBidi" w:hAnsiTheme="minorBidi"/>
          <w:i/>
          <w:iCs/>
          <w:sz w:val="23"/>
          <w:szCs w:val="23"/>
        </w:rPr>
        <w:t xml:space="preserve">(60 </w:t>
      </w:r>
      <w:proofErr w:type="spellStart"/>
      <w:r w:rsidRPr="00023959">
        <w:rPr>
          <w:rFonts w:asciiTheme="minorBidi" w:hAnsiTheme="minorBidi"/>
        </w:rPr>
        <w:t>ksi</w:t>
      </w:r>
      <w:proofErr w:type="spellEnd"/>
      <w:r w:rsidRPr="00023959">
        <w:rPr>
          <w:rFonts w:asciiTheme="minorBidi" w:hAnsiTheme="minorBidi"/>
        </w:rPr>
        <w:t>) minimum yield strength</w:t>
      </w:r>
      <w:r w:rsidRPr="00023959">
        <w:rPr>
          <w:rFonts w:asciiTheme="minorBidi" w:hAnsiTheme="minorBidi"/>
        </w:rPr>
        <w:t xml:space="preserve"> </w:t>
      </w:r>
      <w:r w:rsidRPr="00023959">
        <w:rPr>
          <w:rFonts w:asciiTheme="minorBidi" w:hAnsiTheme="minorBidi"/>
        </w:rPr>
        <w:t xml:space="preserve">of 65Ni-15Cr-Fe </w:t>
      </w: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47C4CA1B" wp14:editId="54143064">
            <wp:simplePos x="0" y="0"/>
            <wp:positionH relativeFrom="margin">
              <wp:align>left</wp:align>
            </wp:positionH>
            <wp:positionV relativeFrom="paragraph">
              <wp:posOffset>459105</wp:posOffset>
            </wp:positionV>
            <wp:extent cx="6080760" cy="5006340"/>
            <wp:effectExtent l="0" t="0" r="0" b="3810"/>
            <wp:wrapSquare wrapText="bothSides"/>
            <wp:docPr id="17884733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959">
        <w:rPr>
          <w:rFonts w:asciiTheme="minorBidi" w:hAnsiTheme="minorBidi"/>
        </w:rPr>
        <w:t>filler metal minimizes the thickness required in the tank wall and, consequently, the cost.</w:t>
      </w:r>
    </w:p>
    <w:p w14:paraId="41ABB9E0" w14:textId="142FB89A" w:rsidR="00023959" w:rsidRDefault="00023959" w:rsidP="0002395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C8537EE" w14:textId="5FCC6904" w:rsidR="00023959" w:rsidRPr="00023959" w:rsidRDefault="00023959" w:rsidP="00023959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sectPr w:rsidR="00023959" w:rsidRPr="00023959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A34E" w14:textId="77777777" w:rsidR="00C47C16" w:rsidRDefault="00C47C16" w:rsidP="00550E73">
      <w:pPr>
        <w:spacing w:after="0" w:line="240" w:lineRule="auto"/>
      </w:pPr>
      <w:r>
        <w:separator/>
      </w:r>
    </w:p>
  </w:endnote>
  <w:endnote w:type="continuationSeparator" w:id="0">
    <w:p w14:paraId="2C6036CB" w14:textId="77777777" w:rsidR="00C47C16" w:rsidRDefault="00C47C16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36E7" w14:textId="77777777" w:rsidR="00C47C16" w:rsidRDefault="00C47C16" w:rsidP="00550E73">
      <w:pPr>
        <w:spacing w:after="0" w:line="240" w:lineRule="auto"/>
      </w:pPr>
      <w:r>
        <w:separator/>
      </w:r>
    </w:p>
  </w:footnote>
  <w:footnote w:type="continuationSeparator" w:id="0">
    <w:p w14:paraId="6BE13B77" w14:textId="77777777" w:rsidR="00C47C16" w:rsidRDefault="00C47C16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23959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0D26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A2D49"/>
    <w:rsid w:val="00BC61C1"/>
    <w:rsid w:val="00BD0BA6"/>
    <w:rsid w:val="00BD5159"/>
    <w:rsid w:val="00BF6AC9"/>
    <w:rsid w:val="00C10920"/>
    <w:rsid w:val="00C213B5"/>
    <w:rsid w:val="00C40939"/>
    <w:rsid w:val="00C47C16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31</cp:revision>
  <dcterms:created xsi:type="dcterms:W3CDTF">2022-10-17T07:24:00Z</dcterms:created>
  <dcterms:modified xsi:type="dcterms:W3CDTF">2023-08-09T10:43:00Z</dcterms:modified>
</cp:coreProperties>
</file>