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D6BD" w14:textId="77777777" w:rsidR="00B636E6" w:rsidRDefault="00B636E6" w:rsidP="00666E27">
      <w:pPr>
        <w:rPr>
          <w:rFonts w:asciiTheme="minorBidi" w:hAnsiTheme="minorBidi"/>
        </w:rPr>
      </w:pPr>
    </w:p>
    <w:p w14:paraId="6C1F91B0" w14:textId="77777777" w:rsidR="00F02051" w:rsidRDefault="00F02051" w:rsidP="00666E27">
      <w:pPr>
        <w:rPr>
          <w:rFonts w:asciiTheme="minorBidi" w:hAnsiTheme="minorBidi"/>
        </w:rPr>
      </w:pPr>
    </w:p>
    <w:p w14:paraId="306227D4" w14:textId="77777777" w:rsidR="00F02051" w:rsidRDefault="00F02051" w:rsidP="00666E27">
      <w:pPr>
        <w:rPr>
          <w:rFonts w:asciiTheme="minorBidi" w:hAnsiTheme="minorBidi"/>
        </w:rPr>
      </w:pPr>
    </w:p>
    <w:p w14:paraId="223D7B93" w14:textId="77777777" w:rsidR="00F02051" w:rsidRDefault="00F02051" w:rsidP="00666E27">
      <w:pPr>
        <w:rPr>
          <w:rFonts w:asciiTheme="minorBidi" w:hAnsiTheme="minorBidi"/>
        </w:rPr>
      </w:pPr>
    </w:p>
    <w:p w14:paraId="2D22E461" w14:textId="77777777" w:rsidR="00F02051" w:rsidRDefault="00F02051" w:rsidP="00666E27">
      <w:pPr>
        <w:rPr>
          <w:rFonts w:asciiTheme="minorBidi" w:hAnsiTheme="minorBidi"/>
        </w:rPr>
      </w:pPr>
    </w:p>
    <w:p w14:paraId="53DDE6E5" w14:textId="77777777" w:rsidR="00F02051" w:rsidRDefault="00F02051" w:rsidP="00666E27">
      <w:pPr>
        <w:rPr>
          <w:rFonts w:asciiTheme="minorBidi" w:hAnsiTheme="minorBidi"/>
        </w:rPr>
      </w:pPr>
    </w:p>
    <w:p w14:paraId="407226E6" w14:textId="77777777" w:rsidR="00F02051" w:rsidRDefault="00F02051" w:rsidP="00666E27">
      <w:pPr>
        <w:rPr>
          <w:rFonts w:asciiTheme="minorBidi" w:hAnsiTheme="minorBidi"/>
        </w:rPr>
      </w:pPr>
    </w:p>
    <w:p w14:paraId="3B4DEAE0" w14:textId="77777777" w:rsidR="00F02051" w:rsidRDefault="00F02051" w:rsidP="00666E27">
      <w:pPr>
        <w:rPr>
          <w:rFonts w:asciiTheme="minorBidi" w:hAnsiTheme="minorBidi"/>
        </w:rPr>
      </w:pPr>
    </w:p>
    <w:p w14:paraId="09E8327C" w14:textId="77777777" w:rsidR="00F02051" w:rsidRDefault="00F02051" w:rsidP="00666E27">
      <w:pPr>
        <w:rPr>
          <w:rFonts w:asciiTheme="minorBidi" w:hAnsiTheme="minorBidi"/>
        </w:rPr>
      </w:pPr>
    </w:p>
    <w:p w14:paraId="1D478644" w14:textId="77777777" w:rsidR="00F02051" w:rsidRDefault="00F02051" w:rsidP="00666E27">
      <w:pPr>
        <w:rPr>
          <w:rFonts w:asciiTheme="minorBidi" w:hAnsiTheme="minorBidi"/>
        </w:rPr>
      </w:pPr>
    </w:p>
    <w:p w14:paraId="20D39809" w14:textId="6AEBABBA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  <w:r w:rsidRPr="00F02051">
        <w:rPr>
          <w:rFonts w:asciiTheme="minorBidi" w:hAnsiTheme="minorBidi"/>
          <w:sz w:val="36"/>
          <w:szCs w:val="36"/>
        </w:rPr>
        <w:t>Safety Environment in Aspen Plus</w:t>
      </w:r>
    </w:p>
    <w:p w14:paraId="631E59EA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3C191FA4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5FA5AB64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14D8B231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124A3992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4B45B91F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22A7A5FC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0F8FBF14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1F22D4F0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0A653C00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7ED39D6F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4BB87A88" w14:textId="77777777" w:rsidR="00F02051" w:rsidRDefault="00F02051" w:rsidP="00F02051">
      <w:pPr>
        <w:jc w:val="center"/>
        <w:rPr>
          <w:rFonts w:asciiTheme="minorBidi" w:hAnsiTheme="minorBidi"/>
          <w:sz w:val="36"/>
          <w:szCs w:val="36"/>
        </w:rPr>
      </w:pPr>
    </w:p>
    <w:p w14:paraId="1338C004" w14:textId="49F9B839" w:rsidR="00F02051" w:rsidRDefault="00441E0F" w:rsidP="00F02051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Part 1</w:t>
      </w:r>
    </w:p>
    <w:p w14:paraId="58FED4A6" w14:textId="272A6C87" w:rsidR="00441E0F" w:rsidRPr="00441E0F" w:rsidRDefault="00441E0F" w:rsidP="00441E0F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441E0F">
        <w:rPr>
          <w:rFonts w:asciiTheme="minorBidi" w:hAnsiTheme="minorBidi"/>
          <w:color w:val="231F20"/>
        </w:rPr>
        <w:t>The natural gas liquids (NGLs) produced from wells must be conditioned before they can be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economically transmitted through pipelines. The conditioning process generally involves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 xml:space="preserve">removal of brine (salt water), hydrogen sulfide, sand, and dissolved light gases. The </w:t>
      </w:r>
      <w:proofErr w:type="gramStart"/>
      <w:r w:rsidRPr="00441E0F">
        <w:rPr>
          <w:rFonts w:asciiTheme="minorBidi" w:hAnsiTheme="minorBidi"/>
          <w:color w:val="231F20"/>
        </w:rPr>
        <w:t>high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pressure</w:t>
      </w:r>
      <w:proofErr w:type="gramEnd"/>
      <w:r w:rsidRPr="00441E0F">
        <w:rPr>
          <w:rFonts w:asciiTheme="minorBidi" w:hAnsiTheme="minorBidi"/>
          <w:color w:val="231F20"/>
        </w:rPr>
        <w:t xml:space="preserve"> liquid from field gathering lines is depressurized and sent through a knock-out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drum with water boot to separate brine from the hydrocarbon liquid. The knock-out drum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and the let-down valves can be modeled together by “Flash2” type block connected to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 xml:space="preserve">water decant </w:t>
      </w:r>
      <w:r w:rsidRPr="00441E0F">
        <w:rPr>
          <w:rFonts w:asciiTheme="minorBidi" w:hAnsiTheme="minorBidi"/>
          <w:color w:val="231F20"/>
        </w:rPr>
        <w:t>stream. Moreover</w:t>
      </w:r>
      <w:r w:rsidRPr="00441E0F">
        <w:rPr>
          <w:rFonts w:asciiTheme="minorBidi" w:hAnsiTheme="minorBidi"/>
          <w:color w:val="231F20"/>
        </w:rPr>
        <w:t xml:space="preserve">, </w:t>
      </w:r>
      <w:proofErr w:type="gramStart"/>
      <w:r w:rsidRPr="00441E0F">
        <w:rPr>
          <w:rFonts w:asciiTheme="minorBidi" w:hAnsiTheme="minorBidi"/>
          <w:color w:val="231F20"/>
        </w:rPr>
        <w:t>The</w:t>
      </w:r>
      <w:proofErr w:type="gramEnd"/>
      <w:r w:rsidRPr="00441E0F">
        <w:rPr>
          <w:rFonts w:asciiTheme="minorBidi" w:hAnsiTheme="minorBidi"/>
          <w:color w:val="231F20"/>
        </w:rPr>
        <w:t xml:space="preserve"> stabilization is carried out in distillation column, which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removes hydrocarbons lighter than butanes. The amount of butane allowed in the liquid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product depends on the Reid vapor pressure specifications. The NGL and gas products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are then pressurized to the pipeline pressure. The goal here is to demonstrate the safety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and energy aspects of such a petroleum process. Aspen Plus® provides “</w:t>
      </w:r>
      <w:proofErr w:type="spellStart"/>
      <w:r w:rsidRPr="00441E0F">
        <w:rPr>
          <w:rFonts w:asciiTheme="minorBidi" w:hAnsiTheme="minorBidi"/>
          <w:color w:val="231F20"/>
        </w:rPr>
        <w:t>ngl.bkp</w:t>
      </w:r>
      <w:proofErr w:type="spellEnd"/>
      <w:r w:rsidRPr="00441E0F">
        <w:rPr>
          <w:rFonts w:asciiTheme="minorBidi" w:hAnsiTheme="minorBidi"/>
          <w:color w:val="231F20"/>
        </w:rPr>
        <w:t>” as an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example (i.e., “C:\Program Files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(x</w:t>
      </w:r>
      <w:proofErr w:type="gramStart"/>
      <w:r w:rsidRPr="00441E0F">
        <w:rPr>
          <w:rFonts w:asciiTheme="minorBidi" w:hAnsiTheme="minorBidi"/>
          <w:color w:val="231F20"/>
        </w:rPr>
        <w:t>86)\</w:t>
      </w:r>
      <w:proofErr w:type="spellStart"/>
      <w:r w:rsidRPr="00441E0F">
        <w:rPr>
          <w:rFonts w:asciiTheme="minorBidi" w:hAnsiTheme="minorBidi"/>
          <w:color w:val="231F20"/>
        </w:rPr>
        <w:t>AspenTech</w:t>
      </w:r>
      <w:proofErr w:type="spellEnd"/>
      <w:r w:rsidRPr="00441E0F">
        <w:rPr>
          <w:rFonts w:asciiTheme="minorBidi" w:hAnsiTheme="minorBidi"/>
          <w:color w:val="231F20"/>
        </w:rPr>
        <w:t>\Aspen</w:t>
      </w:r>
      <w:proofErr w:type="gramEnd"/>
      <w:r w:rsidRPr="00441E0F">
        <w:rPr>
          <w:rFonts w:asciiTheme="minorBidi" w:hAnsiTheme="minorBidi"/>
          <w:color w:val="231F20"/>
        </w:rPr>
        <w:t xml:space="preserve"> Plus V8.8\GUI\Examples”),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which can be reached via “Examples” button found in “Resources” ribbon.</w:t>
      </w:r>
    </w:p>
    <w:p w14:paraId="2D7F4A89" w14:textId="77777777" w:rsidR="00441E0F" w:rsidRDefault="00441E0F" w:rsidP="00441E0F">
      <w:pPr>
        <w:autoSpaceDE w:val="0"/>
        <w:autoSpaceDN w:val="0"/>
        <w:adjustRightInd w:val="0"/>
        <w:spacing w:after="0" w:line="240" w:lineRule="auto"/>
        <w:rPr>
          <w:rFonts w:ascii="TimesLTStd-Bold" w:hAnsi="TimesLTStd-Bold" w:cs="TimesLTStd-Bold"/>
          <w:b/>
          <w:bCs/>
          <w:color w:val="231F20"/>
          <w:sz w:val="20"/>
          <w:szCs w:val="20"/>
        </w:rPr>
      </w:pPr>
    </w:p>
    <w:p w14:paraId="35BD6057" w14:textId="2CF0D099" w:rsidR="00441E0F" w:rsidRPr="00441E0F" w:rsidRDefault="00441E0F" w:rsidP="00441E0F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441E0F">
        <w:rPr>
          <w:rFonts w:asciiTheme="minorBidi" w:hAnsiTheme="minorBidi"/>
          <w:color w:val="231F20"/>
        </w:rPr>
        <w:t>THE “SAFETY ANALYSIS” ENVIRONMENT</w:t>
      </w:r>
    </w:p>
    <w:p w14:paraId="5081E473" w14:textId="152A90FB" w:rsidR="00441E0F" w:rsidRPr="00441E0F" w:rsidRDefault="00441E0F" w:rsidP="00441E0F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441E0F">
        <w:rPr>
          <w:rFonts w:asciiTheme="minorBidi" w:hAnsiTheme="minorBidi"/>
          <w:color w:val="231F20"/>
        </w:rPr>
        <w:t>I will not elaborate on the successful completion of the first two compulsory steps: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“Properties” and “Simulation”, which are essential for any process flowsheet simulation.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The components, the property method, and stream and block operating conditions are all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given in the example. However, based on the warning messages issued by Aspen Plus, the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following two databanks were added to the default selected databanks: “ETHYLENE”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and “NRTL-SAC”. The property method is selected as “RK-SOAVE”. What you need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to do is to save the file, in a separate folder, as an *.</w:t>
      </w:r>
      <w:proofErr w:type="spellStart"/>
      <w:r w:rsidRPr="00441E0F">
        <w:rPr>
          <w:rFonts w:asciiTheme="minorBidi" w:hAnsiTheme="minorBidi"/>
          <w:color w:val="231F20"/>
        </w:rPr>
        <w:t>apw</w:t>
      </w:r>
      <w:proofErr w:type="spellEnd"/>
      <w:r w:rsidRPr="00441E0F">
        <w:rPr>
          <w:rFonts w:asciiTheme="minorBidi" w:hAnsiTheme="minorBidi"/>
          <w:color w:val="231F20"/>
        </w:rPr>
        <w:t xml:space="preserve"> file, then run the file under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“Properties” followed by “Simulation” environment. Let us switch to third environment,</w:t>
      </w:r>
      <w:r w:rsidRPr="00441E0F">
        <w:rPr>
          <w:rFonts w:asciiTheme="minorBidi" w:hAnsiTheme="minorBidi"/>
          <w:color w:val="231F20"/>
        </w:rPr>
        <w:t xml:space="preserve"> </w:t>
      </w:r>
      <w:r w:rsidRPr="00441E0F">
        <w:rPr>
          <w:rFonts w:asciiTheme="minorBidi" w:hAnsiTheme="minorBidi"/>
          <w:color w:val="231F20"/>
        </w:rPr>
        <w:t>that is, “Safety Analysis”. Figure 16.1 shows the Aspen Plus under “Safety Analysis”</w:t>
      </w:r>
    </w:p>
    <w:p w14:paraId="1228A8FD" w14:textId="627BE04F" w:rsidR="00441E0F" w:rsidRDefault="00C61E91" w:rsidP="00441E0F">
      <w:pPr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58240" behindDoc="0" locked="0" layoutInCell="1" allowOverlap="1" wp14:anchorId="146D50A7" wp14:editId="6FFB2A48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6033770" cy="2842260"/>
            <wp:effectExtent l="0" t="0" r="5080" b="0"/>
            <wp:wrapSquare wrapText="bothSides"/>
            <wp:docPr id="1305367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E0F" w:rsidRPr="00441E0F">
        <w:rPr>
          <w:rFonts w:asciiTheme="minorBidi" w:hAnsiTheme="minorBidi"/>
          <w:color w:val="231F20"/>
        </w:rPr>
        <w:t>environment.</w:t>
      </w:r>
    </w:p>
    <w:p w14:paraId="5E3C2C27" w14:textId="6A809909" w:rsidR="00B7653D" w:rsidRDefault="00B7653D" w:rsidP="00441E0F">
      <w:pPr>
        <w:jc w:val="both"/>
        <w:rPr>
          <w:rFonts w:asciiTheme="minorBidi" w:hAnsiTheme="minorBidi"/>
        </w:rPr>
      </w:pPr>
    </w:p>
    <w:p w14:paraId="288CB2CB" w14:textId="77777777" w:rsidR="00C61E91" w:rsidRDefault="00C61E91" w:rsidP="00441E0F">
      <w:pPr>
        <w:jc w:val="both"/>
        <w:rPr>
          <w:rFonts w:asciiTheme="minorBidi" w:hAnsiTheme="minorBidi"/>
        </w:rPr>
      </w:pPr>
    </w:p>
    <w:p w14:paraId="7175A224" w14:textId="78D4A0B7" w:rsid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lastRenderedPageBreak/>
        <w:t>NOTE #1: The “Safety Analysis” environment requires that the “Simulation” environment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is successfully completed. When you switch to the “Safety Analysis” environment,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if the “Simulation” environment is incomplete then you will be informed of this issue.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Moreover, Aspen Plus will allow you to move back and forth among different environments,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upon successful completion of the prerequisite step(s).</w:t>
      </w:r>
    </w:p>
    <w:p w14:paraId="717AD780" w14:textId="77777777" w:rsidR="00C61E91" w:rsidRDefault="00C61E91" w:rsidP="00C61E91">
      <w:pPr>
        <w:rPr>
          <w:rFonts w:asciiTheme="minorBidi" w:hAnsiTheme="minorBidi"/>
        </w:rPr>
      </w:pPr>
    </w:p>
    <w:p w14:paraId="079B3E40" w14:textId="0A508191" w:rsidR="00C61E91" w:rsidRP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The “Safety Analysis” environment lets the user analyze overpressure scenarios,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determine which contingencies require pressure relieving devices, size these devices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according to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appropriate standards, and generate appropriate documentation for analysis.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Pressure Relieving Devices (PRDs) are critical components of the pressure relief and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safety systems for chemical plants, refineries, and similar industrial applications. There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are many types and designations of PRDs; some acronyms typically used in the domain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are Pressure Relief Valves devices (PRVs), Pressure Safety Valves (PSVs), Relief Valves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(RVs), Safety Relief Valves (SRVs), Safety Valves (SVs), Temperature Relief Valves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(TRVs), or Temperature Safety Valves (TSVs). PRDs are attached to equipment in order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 xml:space="preserve">to prevent </w:t>
      </w:r>
      <w:r w:rsidRPr="00C61E91">
        <w:rPr>
          <w:rFonts w:asciiTheme="minorBidi" w:hAnsiTheme="minorBidi"/>
          <w:color w:val="231F20"/>
        </w:rPr>
        <w:t>over pressuring</w:t>
      </w:r>
      <w:r w:rsidRPr="00C61E91">
        <w:rPr>
          <w:rFonts w:asciiTheme="minorBidi" w:hAnsiTheme="minorBidi"/>
          <w:color w:val="231F20"/>
        </w:rPr>
        <w:t>. Because the primary function of this equipment is safety, it is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imperative that PRDs are designed properly. Process simulators can aid process engineers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when analyzing overpressure scenarios and sizing PSVs as part of the pressure relief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system in a plant.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With the “Safety Analysis” environment, the user can use the same properties and process</w:t>
      </w:r>
      <w:r w:rsidRPr="00C61E91"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data for both equipment design and overpressure analysis. He/she can use the familiar</w:t>
      </w:r>
    </w:p>
    <w:p w14:paraId="69AFC782" w14:textId="77777777" w:rsidR="00C61E91" w:rsidRP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Aspen Plus flowsheet to visualize the process and simulation results to help the user perform</w:t>
      </w:r>
    </w:p>
    <w:p w14:paraId="6B1FB46E" w14:textId="3B5E1227" w:rsidR="00C61E91" w:rsidRP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rigorous overpressure scenario analysis. He/she can also use relief load calculation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schemes for common contingencies (such as fire and exchanger tube rupture).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The “Safety Analysis” environment uses the latest API 520 and 521 pressure relieving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device sizing equations (including Homogeneous Equilibrium Method, HEM) and performs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design temperature and valve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material checks in full accordance with API 526, resulting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in better PSV types and flanges identification. It also provides the ability to calculate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noise and reaction forces and perform line sizing calculations for single- and mixed-phase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systems. The user can also use the “Safety Analysis” environment to create automatically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generated documentation of relief devices with data used in sizing of PSVs.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Moreover, the “Safety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Analysis” environment lets the user perform low-pressure storage</w:t>
      </w:r>
    </w:p>
    <w:p w14:paraId="6F3EA039" w14:textId="79F6978E" w:rsidR="00C61E91" w:rsidRP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tank calculations. Such a tank is designed to hold petroleum intermediates (gases or vapors)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and finished products, as well as other liquid products commonly handled and stored by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the various branches of the industry. The user can calculate thermal and liquid movement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normal venting requirements in accordance with the latest API 2000 code and calculate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emergency venting contingencies. The “Safety Analysis” environment provides the ability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to quickly evaluate the requirement for normal and emergency venting for storage tanks.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Tank design calculations fall under the scope of API 650 and 620, and pressure protection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(overpressure and vacuum protection) calculations fall under the scope of API 2000. All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accessory pressure parts, such as pipe fittings, valves, flanges, nozzles, welding necks,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welding caps, manhole frames, and covers are taken into account to end up with a safe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storage tank facility. This requires establishing procedures, methods, equipment, and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other requirements to prevent or control the discharge of oil (i.e., oil spill) or gas release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from vessels and facilities into the neighboring Mother Nature (as opposed to Father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Artifact).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You can view the “Tank Report” summarizing the storage tank calculations by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selecting the “Calculation Sheet” button on the “Reports” contextual ribbon. See</w:t>
      </w:r>
    </w:p>
    <w:p w14:paraId="6E730060" w14:textId="54AFC9B9" w:rsid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Homework/Classwork 16.1.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In addition, the “Safety Analysis” environment also provides methods to quickly determine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 xml:space="preserve">the orifice area required and the rated capacity of a rupture disk device. The </w:t>
      </w:r>
      <w:r w:rsidRPr="00C61E91">
        <w:rPr>
          <w:rFonts w:asciiTheme="minorBidi" w:hAnsiTheme="minorBidi"/>
          <w:color w:val="231F20"/>
        </w:rPr>
        <w:lastRenderedPageBreak/>
        <w:t>user can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change PSVs to rupture disks and rupture disks to PSVs after defining scenarios and sizes.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The “Safety Analysis” environment can quickly determine multiple valve configurations.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In “Aspen Flare System Analyzer” the user can import PSV information from Aspen Plus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“Safety Analysis” environment.</w:t>
      </w:r>
    </w:p>
    <w:p w14:paraId="5D60260D" w14:textId="77777777" w:rsid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6853895C" w14:textId="77777777" w:rsidR="00C61E91" w:rsidRP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ADDING A PRESSURE SAFETY VALVE (PSV)</w:t>
      </w:r>
    </w:p>
    <w:p w14:paraId="48DD71E8" w14:textId="40AC6C98" w:rsidR="00C61E91" w:rsidRDefault="00C61E91" w:rsidP="00C61E91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C61E91">
        <w:rPr>
          <w:rFonts w:asciiTheme="minorBidi" w:hAnsiTheme="minorBidi"/>
          <w:color w:val="231F20"/>
        </w:rPr>
        <w:t>Since the NGL process is a high-pressure process, then there will be no need to add a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low-pressure storage tank but we will show how to add a PSV. Click on “Add PSV” button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found in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“Home” ribbon under “Safety Analysis” environment. Move the cursor over the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material stream that you would like to add a PSV to and the cursor will change to “</w:t>
      </w:r>
      <w:r w:rsidRPr="00C61E91">
        <w:rPr>
          <w:rFonts w:asciiTheme="minorBidi" w:eastAsia="STIXMath-Regular" w:hAnsiTheme="minorBidi"/>
          <w:color w:val="231F20"/>
        </w:rPr>
        <w:t>+</w:t>
      </w:r>
      <w:r w:rsidRPr="00C61E91">
        <w:rPr>
          <w:rFonts w:asciiTheme="minorBidi" w:hAnsiTheme="minorBidi"/>
          <w:color w:val="231F20"/>
        </w:rPr>
        <w:t>”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crosshairs. At such a point in time and space, you can release the dragged mouse and “PSV”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icon shows up unto the flowsheet as shown in Figure 16.2. Alternatively, you may click on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the “Add PSV” button once and release the mouse, move to the flowsheet area where the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cursor will change to “</w:t>
      </w:r>
      <w:r w:rsidRPr="00C61E91">
        <w:rPr>
          <w:rFonts w:asciiTheme="minorBidi" w:eastAsia="STIXMath-Regular" w:hAnsiTheme="minorBidi"/>
          <w:color w:val="231F20"/>
        </w:rPr>
        <w:t>+</w:t>
      </w:r>
      <w:r w:rsidRPr="00C61E91">
        <w:rPr>
          <w:rFonts w:asciiTheme="minorBidi" w:hAnsiTheme="minorBidi"/>
          <w:color w:val="231F20"/>
        </w:rPr>
        <w:t>” crosshairs, and once you hover the mouse over any potential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stream, a blue square will be shown toward the end of the candidate stream where now you</w:t>
      </w:r>
      <w:r>
        <w:rPr>
          <w:rFonts w:asciiTheme="minorBidi" w:hAnsiTheme="minorBidi"/>
          <w:color w:val="231F20"/>
        </w:rPr>
        <w:t xml:space="preserve"> </w:t>
      </w:r>
      <w:r w:rsidRPr="00C61E91">
        <w:rPr>
          <w:rFonts w:asciiTheme="minorBidi" w:hAnsiTheme="minorBidi"/>
          <w:color w:val="231F20"/>
        </w:rPr>
        <w:t>can click on the blue square to add a PSV.</w:t>
      </w:r>
    </w:p>
    <w:p w14:paraId="4BE26179" w14:textId="31CEC78E" w:rsidR="00A72780" w:rsidRDefault="00A72780" w:rsidP="00A72780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59264" behindDoc="0" locked="0" layoutInCell="1" allowOverlap="1" wp14:anchorId="31EABA1D" wp14:editId="6195BACE">
            <wp:simplePos x="0" y="0"/>
            <wp:positionH relativeFrom="column">
              <wp:posOffset>7620</wp:posOffset>
            </wp:positionH>
            <wp:positionV relativeFrom="paragraph">
              <wp:posOffset>191135</wp:posOffset>
            </wp:positionV>
            <wp:extent cx="6026150" cy="3619500"/>
            <wp:effectExtent l="0" t="0" r="0" b="0"/>
            <wp:wrapSquare wrapText="bothSides"/>
            <wp:docPr id="13209949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4268B9" w14:textId="77777777" w:rsidR="00A72780" w:rsidRPr="00A72780" w:rsidRDefault="00A72780" w:rsidP="00A72780">
      <w:pPr>
        <w:rPr>
          <w:rFonts w:asciiTheme="minorBidi" w:hAnsiTheme="minorBidi"/>
        </w:rPr>
      </w:pPr>
    </w:p>
    <w:p w14:paraId="71ECA085" w14:textId="62BE8FCE" w:rsidR="00A72780" w:rsidRPr="00A72780" w:rsidRDefault="00A72780" w:rsidP="00A727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A72780">
        <w:rPr>
          <w:rFonts w:asciiTheme="minorBidi" w:hAnsiTheme="minorBidi"/>
          <w:color w:val="231F20"/>
        </w:rPr>
        <w:t>Next, we will customize the newly added PSV. From the “Safety Analysis” pane, click</w:t>
      </w:r>
      <w:r w:rsidRPr="00A72780">
        <w:rPr>
          <w:rFonts w:asciiTheme="minorBidi" w:hAnsiTheme="minorBidi"/>
          <w:color w:val="231F20"/>
        </w:rPr>
        <w:t xml:space="preserve"> </w:t>
      </w:r>
      <w:r w:rsidRPr="00A72780">
        <w:rPr>
          <w:rFonts w:asciiTheme="minorBidi" w:hAnsiTheme="minorBidi"/>
          <w:color w:val="231F20"/>
        </w:rPr>
        <w:t>on “PSV-1” subfolder and “Equipment” tab form will show up as shown in Figure 16.3.</w:t>
      </w:r>
      <w:r w:rsidRPr="00A72780">
        <w:rPr>
          <w:rFonts w:asciiTheme="minorBidi" w:hAnsiTheme="minorBidi"/>
          <w:color w:val="231F20"/>
        </w:rPr>
        <w:t xml:space="preserve"> </w:t>
      </w:r>
      <w:r w:rsidRPr="00A72780">
        <w:rPr>
          <w:rFonts w:asciiTheme="minorBidi" w:hAnsiTheme="minorBidi"/>
          <w:color w:val="231F20"/>
        </w:rPr>
        <w:t>You have the choice to enter the input data manually or by reference. To avoid yourself a</w:t>
      </w:r>
      <w:r w:rsidRPr="00A72780">
        <w:rPr>
          <w:rFonts w:asciiTheme="minorBidi" w:hAnsiTheme="minorBidi"/>
          <w:color w:val="231F20"/>
        </w:rPr>
        <w:t xml:space="preserve"> </w:t>
      </w:r>
      <w:r w:rsidRPr="00A72780">
        <w:rPr>
          <w:rFonts w:asciiTheme="minorBidi" w:hAnsiTheme="minorBidi"/>
          <w:color w:val="231F20"/>
        </w:rPr>
        <w:t>headache, select the “Reference” option and Aspen Plus will complete the job.</w:t>
      </w:r>
    </w:p>
    <w:p w14:paraId="5C9D09EC" w14:textId="77777777" w:rsidR="00A72780" w:rsidRPr="00A72780" w:rsidRDefault="00A72780" w:rsidP="00A72780">
      <w:pPr>
        <w:jc w:val="both"/>
        <w:rPr>
          <w:rFonts w:asciiTheme="minorBidi" w:hAnsiTheme="minorBidi"/>
        </w:rPr>
      </w:pPr>
    </w:p>
    <w:p w14:paraId="064850F6" w14:textId="77777777" w:rsidR="00A72780" w:rsidRPr="00A72780" w:rsidRDefault="00A72780" w:rsidP="00A72780">
      <w:pPr>
        <w:rPr>
          <w:rFonts w:asciiTheme="minorBidi" w:hAnsiTheme="minorBidi"/>
        </w:rPr>
      </w:pPr>
    </w:p>
    <w:p w14:paraId="57A7C42F" w14:textId="67A694FA" w:rsidR="00A72780" w:rsidRPr="00A72780" w:rsidRDefault="007D240C" w:rsidP="00A72780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964E23" wp14:editId="117E0419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114800" cy="2621280"/>
            <wp:effectExtent l="0" t="0" r="0" b="7620"/>
            <wp:wrapSquare wrapText="bothSides"/>
            <wp:docPr id="2121853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A9064" w14:textId="77777777" w:rsidR="00A72780" w:rsidRPr="00A72780" w:rsidRDefault="00A72780" w:rsidP="00A72780">
      <w:pPr>
        <w:rPr>
          <w:rFonts w:asciiTheme="minorBidi" w:hAnsiTheme="minorBidi"/>
        </w:rPr>
      </w:pPr>
    </w:p>
    <w:p w14:paraId="5392FA79" w14:textId="77777777" w:rsidR="00A72780" w:rsidRPr="00A72780" w:rsidRDefault="00A72780" w:rsidP="00A72780">
      <w:pPr>
        <w:rPr>
          <w:rFonts w:asciiTheme="minorBidi" w:hAnsiTheme="minorBidi"/>
        </w:rPr>
      </w:pPr>
    </w:p>
    <w:p w14:paraId="3930540B" w14:textId="77777777" w:rsidR="00A72780" w:rsidRPr="00A72780" w:rsidRDefault="00A72780" w:rsidP="00A72780">
      <w:pPr>
        <w:rPr>
          <w:rFonts w:asciiTheme="minorBidi" w:hAnsiTheme="minorBidi"/>
        </w:rPr>
      </w:pPr>
    </w:p>
    <w:p w14:paraId="581E5074" w14:textId="77777777" w:rsidR="00A72780" w:rsidRPr="00A72780" w:rsidRDefault="00A72780" w:rsidP="00A72780">
      <w:pPr>
        <w:rPr>
          <w:rFonts w:asciiTheme="minorBidi" w:hAnsiTheme="minorBidi"/>
        </w:rPr>
      </w:pPr>
    </w:p>
    <w:p w14:paraId="36EB9E65" w14:textId="77777777" w:rsidR="00A72780" w:rsidRPr="00A72780" w:rsidRDefault="00A72780" w:rsidP="00A72780">
      <w:pPr>
        <w:rPr>
          <w:rFonts w:asciiTheme="minorBidi" w:hAnsiTheme="minorBidi"/>
        </w:rPr>
      </w:pPr>
    </w:p>
    <w:p w14:paraId="0DD7C9EC" w14:textId="77777777" w:rsidR="00A72780" w:rsidRPr="00A72780" w:rsidRDefault="00A72780" w:rsidP="00A72780">
      <w:pPr>
        <w:rPr>
          <w:rFonts w:asciiTheme="minorBidi" w:hAnsiTheme="minorBidi"/>
        </w:rPr>
      </w:pPr>
    </w:p>
    <w:p w14:paraId="428F8B0A" w14:textId="77777777" w:rsidR="00A72780" w:rsidRPr="00A72780" w:rsidRDefault="00A72780" w:rsidP="00A72780">
      <w:pPr>
        <w:rPr>
          <w:rFonts w:asciiTheme="minorBidi" w:hAnsiTheme="minorBidi"/>
        </w:rPr>
      </w:pPr>
    </w:p>
    <w:p w14:paraId="0276C4C7" w14:textId="77777777" w:rsidR="00A72780" w:rsidRDefault="00A72780" w:rsidP="00A72780">
      <w:pPr>
        <w:rPr>
          <w:rFonts w:asciiTheme="minorBidi" w:hAnsiTheme="minorBidi"/>
        </w:rPr>
      </w:pPr>
    </w:p>
    <w:p w14:paraId="24AA2E11" w14:textId="77777777" w:rsidR="007D240C" w:rsidRPr="007D240C" w:rsidRDefault="007D240C" w:rsidP="007D240C">
      <w:pPr>
        <w:rPr>
          <w:rFonts w:asciiTheme="minorBidi" w:hAnsiTheme="minorBidi"/>
        </w:rPr>
      </w:pPr>
    </w:p>
    <w:p w14:paraId="7715E5DD" w14:textId="77777777" w:rsidR="007D240C" w:rsidRPr="007D240C" w:rsidRDefault="007D240C" w:rsidP="007D240C">
      <w:pPr>
        <w:jc w:val="both"/>
        <w:rPr>
          <w:rFonts w:asciiTheme="minorBidi" w:hAnsiTheme="minorBidi"/>
        </w:rPr>
      </w:pPr>
    </w:p>
    <w:p w14:paraId="66577AEE" w14:textId="77777777" w:rsidR="007D240C" w:rsidRDefault="007D240C" w:rsidP="007D240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  <w:color w:val="231F20"/>
        </w:rPr>
        <w:drawing>
          <wp:anchor distT="0" distB="0" distL="114300" distR="114300" simplePos="0" relativeHeight="251662336" behindDoc="0" locked="0" layoutInCell="1" allowOverlap="1" wp14:anchorId="0B93B529" wp14:editId="552D74A2">
            <wp:simplePos x="0" y="0"/>
            <wp:positionH relativeFrom="margin">
              <wp:align>left</wp:align>
            </wp:positionH>
            <wp:positionV relativeFrom="paragraph">
              <wp:posOffset>1968500</wp:posOffset>
            </wp:positionV>
            <wp:extent cx="6118860" cy="2628900"/>
            <wp:effectExtent l="0" t="0" r="0" b="0"/>
            <wp:wrapSquare wrapText="bothSides"/>
            <wp:docPr id="19575040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231F20"/>
        </w:rPr>
        <w:drawing>
          <wp:anchor distT="0" distB="0" distL="114300" distR="114300" simplePos="0" relativeHeight="251661312" behindDoc="0" locked="0" layoutInCell="1" allowOverlap="1" wp14:anchorId="3258FDA9" wp14:editId="78CA1F30">
            <wp:simplePos x="0" y="0"/>
            <wp:positionH relativeFrom="margin">
              <wp:align>left</wp:align>
            </wp:positionH>
            <wp:positionV relativeFrom="paragraph">
              <wp:posOffset>779780</wp:posOffset>
            </wp:positionV>
            <wp:extent cx="6149340" cy="1028700"/>
            <wp:effectExtent l="0" t="0" r="3810" b="0"/>
            <wp:wrapSquare wrapText="bothSides"/>
            <wp:docPr id="20100802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40C">
        <w:rPr>
          <w:rFonts w:asciiTheme="minorBidi" w:hAnsiTheme="minorBidi"/>
          <w:color w:val="231F20"/>
        </w:rPr>
        <w:t>Click on “Scenarios” tab and then on “Create Scenario” button to create a new scenario</w:t>
      </w:r>
      <w:r w:rsidRPr="007D240C">
        <w:rPr>
          <w:rFonts w:asciiTheme="minorBidi" w:hAnsiTheme="minorBidi"/>
          <w:color w:val="231F20"/>
        </w:rPr>
        <w:t xml:space="preserve"> </w:t>
      </w:r>
      <w:r w:rsidRPr="007D240C">
        <w:rPr>
          <w:rFonts w:asciiTheme="minorBidi" w:hAnsiTheme="minorBidi"/>
          <w:color w:val="231F20"/>
        </w:rPr>
        <w:t>and the newly created scenario will show up as in Figure 16.4. Highlight (i.e., select)</w:t>
      </w:r>
      <w:r w:rsidRPr="007D240C">
        <w:rPr>
          <w:rFonts w:asciiTheme="minorBidi" w:hAnsiTheme="minorBidi"/>
          <w:color w:val="231F20"/>
        </w:rPr>
        <w:t xml:space="preserve"> </w:t>
      </w:r>
      <w:r w:rsidRPr="007D240C">
        <w:rPr>
          <w:rFonts w:asciiTheme="minorBidi" w:hAnsiTheme="minorBidi"/>
          <w:color w:val="231F20"/>
        </w:rPr>
        <w:t>the scenario and “Open Scenario” button will become active. Click on “Open Scenario”</w:t>
      </w:r>
      <w:r w:rsidRPr="007D240C">
        <w:rPr>
          <w:rFonts w:asciiTheme="minorBidi" w:hAnsiTheme="minorBidi"/>
          <w:color w:val="231F20"/>
        </w:rPr>
        <w:t xml:space="preserve"> </w:t>
      </w:r>
      <w:r w:rsidRPr="007D240C">
        <w:rPr>
          <w:rFonts w:asciiTheme="minorBidi" w:hAnsiTheme="minorBidi"/>
          <w:color w:val="231F20"/>
        </w:rPr>
        <w:t xml:space="preserve">button to edit the selected </w:t>
      </w:r>
    </w:p>
    <w:p w14:paraId="59EF30A3" w14:textId="77ABB534" w:rsidR="007D240C" w:rsidRDefault="007D240C" w:rsidP="007D240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7D240C">
        <w:rPr>
          <w:rFonts w:asciiTheme="minorBidi" w:hAnsiTheme="minorBidi"/>
          <w:color w:val="231F20"/>
        </w:rPr>
        <w:t>scenario.</w:t>
      </w:r>
    </w:p>
    <w:p w14:paraId="34226174" w14:textId="024A5503" w:rsidR="007D240C" w:rsidRDefault="00B4241A" w:rsidP="007D240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  <w:color w:val="231F20"/>
        </w:rPr>
        <w:lastRenderedPageBreak/>
        <w:drawing>
          <wp:anchor distT="0" distB="0" distL="114300" distR="114300" simplePos="0" relativeHeight="251663360" behindDoc="0" locked="0" layoutInCell="1" allowOverlap="1" wp14:anchorId="37F20B4D" wp14:editId="2820EA9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050280" cy="2918460"/>
            <wp:effectExtent l="0" t="0" r="7620" b="0"/>
            <wp:wrapSquare wrapText="bothSides"/>
            <wp:docPr id="21361154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C7CA" w14:textId="0DBE6184" w:rsidR="000F412C" w:rsidRPr="000F412C" w:rsidRDefault="00B4241A" w:rsidP="000F412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0F412C">
        <w:rPr>
          <w:rFonts w:asciiTheme="minorBidi" w:hAnsiTheme="minorBidi"/>
          <w:color w:val="231F20"/>
        </w:rPr>
        <w:t>NOTE #2: For emergency scenario calculations, the fluid properties are obtained from</w:t>
      </w:r>
      <w:r w:rsidR="000F412C"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a fluid with the same composition as the stream connected to the main PSV at the</w:t>
      </w:r>
      <w:r w:rsidR="000F412C"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relieving conditions. Occasionally, a scenario will need a composition different from the</w:t>
      </w:r>
      <w:r w:rsidR="000F412C"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default PSV stream. In that case, select the “Override” checkbox next to “Reference</w:t>
      </w:r>
      <w:r w:rsidR="000F412C"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Stream” (see Figure 16.5) to override the reference stream in a specific scenario. A</w:t>
      </w:r>
      <w:r w:rsidR="000F412C"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stream selection dialog box will appear and allow you to choose a new stream for the</w:t>
      </w:r>
      <w:r w:rsidR="000F412C"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current scenario. Moreover, select the “Sizing Case” checkbox shown in Figure 16.4.</w:t>
      </w:r>
    </w:p>
    <w:p w14:paraId="0B56E160" w14:textId="5127A903" w:rsidR="000F412C" w:rsidRDefault="000F412C" w:rsidP="000F412C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746D180F" wp14:editId="267FA673">
            <wp:simplePos x="0" y="0"/>
            <wp:positionH relativeFrom="margin">
              <wp:posOffset>68580</wp:posOffset>
            </wp:positionH>
            <wp:positionV relativeFrom="paragraph">
              <wp:posOffset>909320</wp:posOffset>
            </wp:positionV>
            <wp:extent cx="5775960" cy="2514600"/>
            <wp:effectExtent l="0" t="0" r="0" b="0"/>
            <wp:wrapSquare wrapText="bothSides"/>
            <wp:docPr id="15236256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12C">
        <w:rPr>
          <w:rFonts w:asciiTheme="minorBidi" w:hAnsiTheme="minorBidi"/>
          <w:color w:val="231F20"/>
        </w:rPr>
        <w:t>Here, we can either define our own scenario via sticking to “</w:t>
      </w:r>
      <w:r w:rsidRPr="000F412C">
        <w:rPr>
          <w:rFonts w:asciiTheme="minorBidi" w:hAnsiTheme="minorBidi"/>
          <w:i/>
          <w:iCs/>
          <w:color w:val="231F20"/>
        </w:rPr>
        <w:t>User Defined</w:t>
      </w:r>
      <w:r w:rsidRPr="000F412C">
        <w:rPr>
          <w:rFonts w:asciiTheme="minorBidi" w:hAnsiTheme="minorBidi"/>
          <w:color w:val="231F20"/>
        </w:rPr>
        <w:t>” option or</w:t>
      </w:r>
      <w:r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select from a drop-down menu, classified under different categories, as there are many possible</w:t>
      </w:r>
      <w:r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scenarios to select from, as shown in Figure 16.6. Notice that Aspen Plus will notify</w:t>
      </w:r>
      <w:r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the user if further information is required (a yellow strip at the bottom of the form) versus</w:t>
      </w:r>
      <w:r>
        <w:rPr>
          <w:rFonts w:asciiTheme="minorBidi" w:hAnsiTheme="minorBidi"/>
          <w:color w:val="231F20"/>
        </w:rPr>
        <w:t xml:space="preserve"> </w:t>
      </w:r>
      <w:r w:rsidRPr="000F412C">
        <w:rPr>
          <w:rFonts w:asciiTheme="minorBidi" w:hAnsiTheme="minorBidi"/>
          <w:color w:val="231F20"/>
        </w:rPr>
        <w:t>the information is complete (a green strip at the bottom).</w:t>
      </w:r>
    </w:p>
    <w:p w14:paraId="4F8F32F1" w14:textId="3C6D4D70" w:rsidR="00096752" w:rsidRDefault="00096752" w:rsidP="0009675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  <w:color w:val="231F20"/>
        </w:rPr>
        <w:lastRenderedPageBreak/>
        <w:drawing>
          <wp:anchor distT="0" distB="0" distL="114300" distR="114300" simplePos="0" relativeHeight="251665408" behindDoc="0" locked="0" layoutInCell="1" allowOverlap="1" wp14:anchorId="7B71E1AE" wp14:editId="6C8EC6CB">
            <wp:simplePos x="0" y="0"/>
            <wp:positionH relativeFrom="margin">
              <wp:align>left</wp:align>
            </wp:positionH>
            <wp:positionV relativeFrom="paragraph">
              <wp:posOffset>2889885</wp:posOffset>
            </wp:positionV>
            <wp:extent cx="5974080" cy="2369820"/>
            <wp:effectExtent l="0" t="0" r="7620" b="0"/>
            <wp:wrapSquare wrapText="bothSides"/>
            <wp:docPr id="18579359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412C" w:rsidRPr="00096752">
        <w:rPr>
          <w:rFonts w:asciiTheme="minorBidi" w:hAnsiTheme="minorBidi"/>
          <w:color w:val="231F20"/>
        </w:rPr>
        <w:t>Notice that we can create different scenarios for the same added valve as many as we</w:t>
      </w:r>
      <w:r w:rsidR="000F412C"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wish but we will discuss one scenario here.</w:t>
      </w:r>
      <w:r w:rsidR="000F412C"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Figure 16.7 shows the “</w:t>
      </w:r>
      <w:r w:rsidR="000F412C" w:rsidRPr="00096752">
        <w:rPr>
          <w:rFonts w:asciiTheme="minorBidi" w:hAnsiTheme="minorBidi"/>
          <w:i/>
          <w:iCs/>
          <w:color w:val="231F20"/>
        </w:rPr>
        <w:t>Abnormal flow through valve</w:t>
      </w:r>
      <w:r w:rsidR="000F412C" w:rsidRPr="00096752">
        <w:rPr>
          <w:rFonts w:asciiTheme="minorBidi" w:hAnsiTheme="minorBidi"/>
          <w:color w:val="231F20"/>
        </w:rPr>
        <w:t>” option as the “Scenario Type”.</w:t>
      </w:r>
      <w:r w:rsidR="000F412C"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However, it requires further input data, namely, the required relieving flow; that explains</w:t>
      </w:r>
      <w:r w:rsidR="000F412C"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why a yellow strip at the bottom of the form persists until the user enters the required</w:t>
      </w:r>
      <w:r w:rsidR="000F412C"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input data; consequently, we need to enter the relieving flow via selecting the “</w:t>
      </w:r>
      <w:r w:rsidR="000F412C" w:rsidRPr="00096752">
        <w:rPr>
          <w:rFonts w:asciiTheme="minorBidi" w:hAnsiTheme="minorBidi"/>
          <w:i/>
          <w:iCs/>
          <w:color w:val="231F20"/>
        </w:rPr>
        <w:t>Reference</w:t>
      </w:r>
      <w:r w:rsidR="000F412C" w:rsidRPr="00096752">
        <w:rPr>
          <w:rFonts w:asciiTheme="minorBidi" w:hAnsiTheme="minorBidi"/>
          <w:color w:val="231F20"/>
        </w:rPr>
        <w:t>”</w:t>
      </w:r>
      <w:r w:rsidR="000F412C"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option for the “Relieving Flow</w:t>
      </w:r>
      <w:r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Method” calculation, which will transform the yellow strip</w:t>
      </w:r>
      <w:r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into green. Furthermore, selecting the orifice area from the drop-down list can be carried</w:t>
      </w:r>
      <w:r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out here (right pane in Figure 16.7). Alternatively, it can be postponed until we reach</w:t>
      </w:r>
      <w:r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“Rating” tab (see later the discussion for selection under “Rating” tab). There is one more</w:t>
      </w:r>
      <w:r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selection, that is, determining the properties of the relieving phase itself as being liquid,</w:t>
      </w:r>
      <w:r w:rsidRPr="00096752">
        <w:rPr>
          <w:rFonts w:asciiTheme="minorBidi" w:hAnsiTheme="minorBidi"/>
          <w:color w:val="231F20"/>
        </w:rPr>
        <w:t xml:space="preserve"> </w:t>
      </w:r>
      <w:r w:rsidR="000F412C" w:rsidRPr="00096752">
        <w:rPr>
          <w:rFonts w:asciiTheme="minorBidi" w:hAnsiTheme="minorBidi"/>
          <w:color w:val="231F20"/>
        </w:rPr>
        <w:t>vapor, mixture of both, or supercritical fluid. The equations used with this option (“</w:t>
      </w:r>
      <w:r w:rsidR="000F412C" w:rsidRPr="00096752">
        <w:rPr>
          <w:rFonts w:asciiTheme="minorBidi" w:hAnsiTheme="minorBidi"/>
          <w:i/>
          <w:iCs/>
          <w:color w:val="231F20"/>
        </w:rPr>
        <w:t>Direct</w:t>
      </w:r>
      <w:r w:rsidRPr="00096752">
        <w:rPr>
          <w:rFonts w:asciiTheme="minorBidi" w:hAnsiTheme="minorBidi"/>
          <w:i/>
          <w:iCs/>
          <w:color w:val="231F20"/>
        </w:rPr>
        <w:t xml:space="preserve"> </w:t>
      </w:r>
      <w:r w:rsidRPr="00096752">
        <w:rPr>
          <w:rFonts w:asciiTheme="minorBidi" w:hAnsiTheme="minorBidi"/>
          <w:i/>
          <w:iCs/>
          <w:color w:val="231F20"/>
        </w:rPr>
        <w:t>Integration (HEM)</w:t>
      </w:r>
      <w:r w:rsidRPr="00096752">
        <w:rPr>
          <w:rFonts w:asciiTheme="minorBidi" w:hAnsiTheme="minorBidi"/>
          <w:color w:val="231F20"/>
        </w:rPr>
        <w:t>”) are based on the Homogeneous Equilibrium Method (HEM), which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assumes the fluid mixture behaves as a pseudo-</w:t>
      </w:r>
      <w:proofErr w:type="gramStart"/>
      <w:r w:rsidRPr="00096752">
        <w:rPr>
          <w:rFonts w:asciiTheme="minorBidi" w:hAnsiTheme="minorBidi"/>
          <w:color w:val="231F20"/>
        </w:rPr>
        <w:t>single phase</w:t>
      </w:r>
      <w:proofErr w:type="gramEnd"/>
      <w:r w:rsidRPr="00096752">
        <w:rPr>
          <w:rFonts w:asciiTheme="minorBidi" w:hAnsiTheme="minorBidi"/>
          <w:color w:val="231F20"/>
        </w:rPr>
        <w:t xml:space="preserve"> fluid, with a density that is the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volume-averaged density of the two phases. This method is based on the assumption that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thermal and mechanical equilibrium exist as the two-phase fluid passes through the PRV. For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high momentum discharges of two-phase systems in nozzles longer than 4 inches (10 cm),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both thermal and mechanical equilibrium can be assumed. These assumptions correspond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to the homogeneous equilibrium flow</w:t>
      </w:r>
      <w:r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 xml:space="preserve">model. </w:t>
      </w:r>
    </w:p>
    <w:p w14:paraId="3DCB0C4B" w14:textId="77777777" w:rsidR="00096752" w:rsidRDefault="00096752" w:rsidP="0009675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37A67C15" w14:textId="43A220A4" w:rsidR="000F412C" w:rsidRDefault="00096752" w:rsidP="0009675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096752">
        <w:rPr>
          <w:rFonts w:asciiTheme="minorBidi" w:hAnsiTheme="minorBidi"/>
          <w:color w:val="231F20"/>
        </w:rPr>
        <w:t>This</w:t>
      </w:r>
      <w:r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method can be used for all two-phase discharge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scenarios, including supercritical fluids in condensing two-phase flow. When using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this method, the Aspen Plus built-in properties calculator is used in order to evaluate fluid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properties along the isentropic path.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After getting the green light (i.e., the green strip) from Aspen Plus, it will do at this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stage some background calculations and the results are shown both in “Scenario Setup”</w:t>
      </w:r>
      <w:r w:rsidRPr="00096752">
        <w:rPr>
          <w:rFonts w:asciiTheme="minorBidi" w:hAnsiTheme="minorBidi"/>
          <w:color w:val="231F20"/>
        </w:rPr>
        <w:t xml:space="preserve"> </w:t>
      </w:r>
      <w:r w:rsidRPr="00096752">
        <w:rPr>
          <w:rFonts w:asciiTheme="minorBidi" w:hAnsiTheme="minorBidi"/>
          <w:color w:val="231F20"/>
        </w:rPr>
        <w:t>and “Fluid Properties” tab form. Here is a summary for terms appearing on either form.</w:t>
      </w:r>
    </w:p>
    <w:p w14:paraId="1A423211" w14:textId="77777777" w:rsidR="00096752" w:rsidRDefault="00096752" w:rsidP="0009675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1DA7F053" w14:textId="4B302AA0" w:rsidR="003A3462" w:rsidRPr="003A3462" w:rsidRDefault="003A3462" w:rsidP="003A34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 w:rsidRPr="003A3462">
        <w:rPr>
          <w:rFonts w:asciiTheme="minorBidi" w:eastAsia="STIXMath-Regular" w:hAnsiTheme="minorBidi"/>
          <w:color w:val="231F20"/>
        </w:rPr>
        <w:t>Maximum Allowable BP: Percentage of the set pressure allowed as backpressure for</w:t>
      </w:r>
    </w:p>
    <w:p w14:paraId="4EBB5ABF" w14:textId="5F49D870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>the valve. This value depends on the set pressure and the valve type considered (this</w:t>
      </w:r>
    </w:p>
    <w:p w14:paraId="04952CE1" w14:textId="41306E21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>item is shown under the “Fluid Properties” tab).</w:t>
      </w:r>
    </w:p>
    <w:p w14:paraId="69E75EE5" w14:textId="5B7B16EF" w:rsidR="003A3462" w:rsidRPr="003A3462" w:rsidRDefault="003A3462" w:rsidP="003A34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 w:rsidRPr="003A3462">
        <w:rPr>
          <w:rFonts w:asciiTheme="minorBidi" w:eastAsia="STIXMath-Regular" w:hAnsiTheme="minorBidi"/>
          <w:color w:val="231F20"/>
        </w:rPr>
        <w:t>Total Backpressure: Pressure at the outlet of the relieving device; sum of the built-up</w:t>
      </w:r>
    </w:p>
    <w:p w14:paraId="6C306901" w14:textId="7943770E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>backpressure and the superimposed backpressure (constant and variable).</w:t>
      </w:r>
    </w:p>
    <w:p w14:paraId="18394832" w14:textId="72675528" w:rsidR="003A3462" w:rsidRPr="003A3462" w:rsidRDefault="003A3462" w:rsidP="003A34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 w:rsidRPr="003A3462">
        <w:rPr>
          <w:rFonts w:asciiTheme="minorBidi" w:eastAsia="STIXMath-Regular" w:hAnsiTheme="minorBidi"/>
          <w:color w:val="231F20"/>
        </w:rPr>
        <w:t>Relieving Pressure: Pressure at the inlet of the relieving device; set pressure+</w:t>
      </w:r>
    </w:p>
    <w:p w14:paraId="68937151" w14:textId="32BD40F1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lastRenderedPageBreak/>
        <w:t xml:space="preserve">           </w:t>
      </w:r>
      <w:r w:rsidRPr="003A3462">
        <w:rPr>
          <w:rFonts w:asciiTheme="minorBidi" w:eastAsia="STIXMath-Regular" w:hAnsiTheme="minorBidi"/>
          <w:color w:val="231F20"/>
        </w:rPr>
        <w:t>allowable overpressure.</w:t>
      </w:r>
    </w:p>
    <w:p w14:paraId="7B6F1161" w14:textId="0D16A3A5" w:rsidR="003A3462" w:rsidRPr="003A3462" w:rsidRDefault="003A3462" w:rsidP="003A346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 w:rsidRPr="003A3462">
        <w:rPr>
          <w:rFonts w:asciiTheme="minorBidi" w:eastAsia="STIXMath-Regular" w:hAnsiTheme="minorBidi"/>
          <w:color w:val="231F20"/>
        </w:rPr>
        <w:t>Relieving Temperature: Temperature of the relieving conditions at the inlet of the</w:t>
      </w:r>
    </w:p>
    <w:p w14:paraId="6EFAB816" w14:textId="5FF57BBF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>relieving device.</w:t>
      </w:r>
    </w:p>
    <w:p w14:paraId="23751BF4" w14:textId="4C4DCE70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</w:t>
      </w:r>
      <w:r w:rsidRPr="003A3462">
        <w:rPr>
          <w:rFonts w:asciiTheme="minorBidi" w:eastAsia="STIXMath-Regular" w:hAnsiTheme="minorBidi"/>
          <w:color w:val="231F20"/>
        </w:rPr>
        <w:t>The allowable overpressure percentage has a default value of 21% of the set pressure for</w:t>
      </w:r>
    </w:p>
    <w:p w14:paraId="5EBE3223" w14:textId="29EFFEBC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>Fire emergency scenarios and 10% for all other scenarios.</w:t>
      </w:r>
    </w:p>
    <w:p w14:paraId="41964208" w14:textId="7F3C4F72" w:rsidR="003A346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eastAsia="STIXMath-Regular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>Let us take, as an example, our lovely “GAS-PROD” outlet stream.</w:t>
      </w:r>
    </w:p>
    <w:p w14:paraId="7DD03EA1" w14:textId="4A68D897" w:rsidR="00096752" w:rsidRPr="003A3462" w:rsidRDefault="003A3462" w:rsidP="003A3462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eastAsia="STIXMath-Regular" w:hAnsiTheme="minorBidi"/>
          <w:color w:val="231F20"/>
        </w:rPr>
        <w:t xml:space="preserve">             </w:t>
      </w:r>
      <w:r w:rsidRPr="003A3462">
        <w:rPr>
          <w:rFonts w:asciiTheme="minorBidi" w:eastAsia="STIXMath-Regular" w:hAnsiTheme="minorBidi"/>
          <w:color w:val="231F20"/>
        </w:rPr>
        <w:t xml:space="preserve">The operating pressure is 1000 psia (68.947 </w:t>
      </w:r>
      <w:proofErr w:type="spellStart"/>
      <w:r w:rsidRPr="003A3462">
        <w:rPr>
          <w:rFonts w:asciiTheme="minorBidi" w:eastAsia="STIXMath-Regular" w:hAnsiTheme="minorBidi"/>
          <w:color w:val="231F20"/>
        </w:rPr>
        <w:t>barA</w:t>
      </w:r>
      <w:proofErr w:type="spellEnd"/>
      <w:r w:rsidRPr="003A3462">
        <w:rPr>
          <w:rFonts w:asciiTheme="minorBidi" w:eastAsia="STIXMath-Regular" w:hAnsiTheme="minorBidi"/>
          <w:color w:val="231F20"/>
        </w:rPr>
        <w:t xml:space="preserve"> (absolute) or 67.934 barG (gage)</w:t>
      </w:r>
    </w:p>
    <w:p w14:paraId="6EAFD067" w14:textId="14A320A2" w:rsidR="000F412C" w:rsidRDefault="000F412C" w:rsidP="003A3462">
      <w:pPr>
        <w:jc w:val="both"/>
        <w:rPr>
          <w:rFonts w:asciiTheme="minorBidi" w:hAnsiTheme="minorBidi"/>
        </w:rPr>
      </w:pPr>
    </w:p>
    <w:p w14:paraId="442C43E1" w14:textId="77777777" w:rsidR="003A3462" w:rsidRPr="003A3BF9" w:rsidRDefault="003A3462" w:rsidP="003A3BF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3A3BF9">
        <w:rPr>
          <w:rFonts w:asciiTheme="minorBidi" w:hAnsiTheme="minorBidi"/>
          <w:color w:val="231F20"/>
        </w:rPr>
        <w:t>The set pressure is 67.934 barG</w:t>
      </w:r>
    </w:p>
    <w:p w14:paraId="7134D8C4" w14:textId="0E737792" w:rsidR="003A3462" w:rsidRPr="003A3BF9" w:rsidRDefault="003A3462" w:rsidP="003A3BF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3A3BF9">
        <w:rPr>
          <w:rFonts w:asciiTheme="minorBidi" w:hAnsiTheme="minorBidi"/>
          <w:color w:val="231F20"/>
        </w:rPr>
        <w:t xml:space="preserve">The allowable overpressure is 0.1 </w:t>
      </w:r>
      <w:r w:rsidRPr="003A3BF9">
        <w:rPr>
          <w:rFonts w:asciiTheme="minorBidi" w:eastAsia="STIXMath-Regular" w:hAnsiTheme="minorBidi"/>
          <w:color w:val="231F20"/>
        </w:rPr>
        <w:t xml:space="preserve">× </w:t>
      </w:r>
      <w:r w:rsidRPr="003A3BF9">
        <w:rPr>
          <w:rFonts w:asciiTheme="minorBidi" w:hAnsiTheme="minorBidi"/>
          <w:color w:val="231F20"/>
        </w:rPr>
        <w:t>67.934</w:t>
      </w:r>
      <w:r w:rsidRPr="003A3BF9">
        <w:rPr>
          <w:rFonts w:asciiTheme="minorBidi" w:eastAsia="STIXMath-Regular" w:hAnsiTheme="minorBidi"/>
          <w:color w:val="231F20"/>
        </w:rPr>
        <w:t>=</w:t>
      </w:r>
      <w:r w:rsidRPr="003A3BF9">
        <w:rPr>
          <w:rFonts w:asciiTheme="minorBidi" w:hAnsiTheme="minorBidi"/>
          <w:color w:val="231F20"/>
        </w:rPr>
        <w:t>6.793 barG</w:t>
      </w:r>
      <w:r w:rsidR="003A3BF9">
        <w:rPr>
          <w:rFonts w:asciiTheme="minorBidi" w:hAnsiTheme="minorBidi"/>
          <w:color w:val="231F20"/>
        </w:rPr>
        <w:t>.</w:t>
      </w:r>
    </w:p>
    <w:p w14:paraId="0A4EA290" w14:textId="7EBED14F" w:rsidR="003A3462" w:rsidRPr="003A3BF9" w:rsidRDefault="003A3462" w:rsidP="003A3BF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3A3BF9">
        <w:rPr>
          <w:rFonts w:asciiTheme="minorBidi" w:hAnsiTheme="minorBidi"/>
          <w:color w:val="231F20"/>
        </w:rPr>
        <w:t>The relieving pressure is 67.934</w:t>
      </w:r>
      <w:r w:rsidRPr="003A3BF9">
        <w:rPr>
          <w:rFonts w:asciiTheme="minorBidi" w:eastAsia="STIXMath-Regular" w:hAnsiTheme="minorBidi"/>
          <w:color w:val="231F20"/>
        </w:rPr>
        <w:t>+</w:t>
      </w:r>
      <w:r w:rsidRPr="003A3BF9">
        <w:rPr>
          <w:rFonts w:asciiTheme="minorBidi" w:hAnsiTheme="minorBidi"/>
          <w:color w:val="231F20"/>
        </w:rPr>
        <w:t>6.793</w:t>
      </w:r>
      <w:r w:rsidRPr="003A3BF9">
        <w:rPr>
          <w:rFonts w:asciiTheme="minorBidi" w:eastAsia="STIXMath-Regular" w:hAnsiTheme="minorBidi"/>
          <w:color w:val="231F20"/>
        </w:rPr>
        <w:t>=</w:t>
      </w:r>
      <w:r w:rsidRPr="003A3BF9">
        <w:rPr>
          <w:rFonts w:asciiTheme="minorBidi" w:hAnsiTheme="minorBidi"/>
          <w:color w:val="231F20"/>
        </w:rPr>
        <w:t>74.73 barG (shown in Figure 16.7).</w:t>
      </w:r>
      <w:r w:rsidR="003A3BF9">
        <w:rPr>
          <w:rFonts w:asciiTheme="minorBidi" w:hAnsiTheme="minorBidi"/>
          <w:color w:val="231F20"/>
        </w:rPr>
        <w:t xml:space="preserve"> </w:t>
      </w:r>
      <w:r w:rsidRPr="003A3BF9">
        <w:rPr>
          <w:rFonts w:asciiTheme="minorBidi" w:hAnsiTheme="minorBidi"/>
          <w:color w:val="231F20"/>
        </w:rPr>
        <w:t>For the “Total Backpressure” value, you may edit the value and an edit</w:t>
      </w:r>
      <w:r w:rsidR="003A3BF9">
        <w:rPr>
          <w:rFonts w:asciiTheme="minorBidi" w:hAnsiTheme="minorBidi"/>
          <w:color w:val="231F20"/>
        </w:rPr>
        <w:t xml:space="preserve"> </w:t>
      </w:r>
      <w:r w:rsidRPr="003A3BF9">
        <w:rPr>
          <w:rFonts w:asciiTheme="minorBidi" w:hAnsiTheme="minorBidi"/>
          <w:color w:val="231F20"/>
        </w:rPr>
        <w:t>box will show up</w:t>
      </w:r>
      <w:r w:rsidR="003A3BF9">
        <w:rPr>
          <w:rFonts w:asciiTheme="minorBidi" w:hAnsiTheme="minorBidi"/>
          <w:color w:val="231F20"/>
        </w:rPr>
        <w:t xml:space="preserve"> </w:t>
      </w:r>
      <w:r w:rsidRPr="003A3BF9">
        <w:rPr>
          <w:rFonts w:asciiTheme="minorBidi" w:hAnsiTheme="minorBidi"/>
          <w:color w:val="231F20"/>
        </w:rPr>
        <w:t>the details on how such a value is calculated by Aspen Plus. The “Relieving Temperature”</w:t>
      </w:r>
      <w:r w:rsidR="003A3BF9">
        <w:rPr>
          <w:rFonts w:asciiTheme="minorBidi" w:hAnsiTheme="minorBidi"/>
          <w:color w:val="231F20"/>
        </w:rPr>
        <w:t xml:space="preserve"> </w:t>
      </w:r>
      <w:r w:rsidRPr="003A3BF9">
        <w:rPr>
          <w:rFonts w:asciiTheme="minorBidi" w:hAnsiTheme="minorBidi"/>
          <w:color w:val="231F20"/>
        </w:rPr>
        <w:t>is set to the operating temperature of “GAS-PROD” outlet stream.</w:t>
      </w:r>
    </w:p>
    <w:p w14:paraId="3549DB59" w14:textId="09E166CA" w:rsidR="003A3462" w:rsidRDefault="003A3462" w:rsidP="003A3BF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3A3BF9">
        <w:rPr>
          <w:rFonts w:asciiTheme="minorBidi" w:hAnsiTheme="minorBidi"/>
          <w:color w:val="231F20"/>
        </w:rPr>
        <w:t>Let us go to the third tab (see Figure 16.4), that is, “PRD Data” as shown in Figure 16.8.</w:t>
      </w:r>
      <w:r w:rsidR="003A3BF9">
        <w:rPr>
          <w:rFonts w:asciiTheme="minorBidi" w:hAnsiTheme="minorBidi"/>
          <w:color w:val="231F20"/>
        </w:rPr>
        <w:t xml:space="preserve"> </w:t>
      </w:r>
      <w:r w:rsidRPr="003A3BF9">
        <w:rPr>
          <w:rFonts w:asciiTheme="minorBidi" w:hAnsiTheme="minorBidi"/>
          <w:color w:val="231F20"/>
        </w:rPr>
        <w:t xml:space="preserve">Since our gas stream leaves at a high pressure (1000 psia), we will </w:t>
      </w:r>
      <w:proofErr w:type="gramStart"/>
      <w:r w:rsidRPr="003A3BF9">
        <w:rPr>
          <w:rFonts w:asciiTheme="minorBidi" w:hAnsiTheme="minorBidi"/>
          <w:color w:val="231F20"/>
        </w:rPr>
        <w:t>chose</w:t>
      </w:r>
      <w:proofErr w:type="gramEnd"/>
      <w:r w:rsidRPr="003A3BF9">
        <w:rPr>
          <w:rFonts w:asciiTheme="minorBidi" w:hAnsiTheme="minorBidi"/>
          <w:color w:val="231F20"/>
        </w:rPr>
        <w:t xml:space="preserve"> “</w:t>
      </w:r>
      <w:r w:rsidRPr="003A3BF9">
        <w:rPr>
          <w:rFonts w:asciiTheme="minorBidi" w:hAnsiTheme="minorBidi"/>
          <w:i/>
          <w:iCs/>
          <w:color w:val="231F20"/>
        </w:rPr>
        <w:t>HP Flare</w:t>
      </w:r>
      <w:r w:rsidRPr="003A3BF9">
        <w:rPr>
          <w:rFonts w:asciiTheme="minorBidi" w:hAnsiTheme="minorBidi"/>
          <w:color w:val="231F20"/>
        </w:rPr>
        <w:t>” option.</w:t>
      </w:r>
    </w:p>
    <w:p w14:paraId="76EFDD0A" w14:textId="273107E9" w:rsidR="003A3BF9" w:rsidRPr="00807826" w:rsidRDefault="003A3BF9" w:rsidP="0080782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  <w:color w:val="231F20"/>
        </w:rPr>
        <w:drawing>
          <wp:anchor distT="0" distB="0" distL="114300" distR="114300" simplePos="0" relativeHeight="251666432" behindDoc="0" locked="0" layoutInCell="1" allowOverlap="1" wp14:anchorId="06FDE121" wp14:editId="5F31006A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5935980" cy="3543300"/>
            <wp:effectExtent l="0" t="0" r="7620" b="0"/>
            <wp:wrapSquare wrapText="bothSides"/>
            <wp:docPr id="4739753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D102C5" w14:textId="1A7BB7B9" w:rsidR="00807826" w:rsidRDefault="00807826" w:rsidP="0080782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807826">
        <w:rPr>
          <w:rFonts w:asciiTheme="minorBidi" w:hAnsiTheme="minorBidi"/>
          <w:color w:val="231F20"/>
        </w:rPr>
        <w:t>Under the fourth “Rating” tab, as shown in Figure 16.9, you may enter or adjust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the orifice size specifications which will be selected from a drop-down list. Notice that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if you select an orifice size larger than needed, you will end up with a yellow strip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bearing the following warning message saying: “100 PSV-1: The required capacity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is smaller than 60% of the PSV capacity. The selected PSV is likely to chatter. Consider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selecting a smaller PSV or splitting the PSV in two or more smaller items”. In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 xml:space="preserve">principle, you can start small and grow up to the limit where you are prompted </w:t>
      </w:r>
      <w:r w:rsidRPr="00807826">
        <w:rPr>
          <w:rFonts w:asciiTheme="minorBidi" w:hAnsiTheme="minorBidi"/>
          <w:color w:val="231F20"/>
        </w:rPr>
        <w:lastRenderedPageBreak/>
        <w:t>by the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warning; alternatively, you may start big and shrink in size until you get the green strip.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>Notice that the required capacity (4929 kg/h) is bigger than 60% of the PSV capacity</w:t>
      </w:r>
      <w:r w:rsidRPr="00807826">
        <w:rPr>
          <w:rFonts w:asciiTheme="minorBidi" w:hAnsiTheme="minorBidi"/>
          <w:color w:val="231F20"/>
        </w:rPr>
        <w:t xml:space="preserve"> </w:t>
      </w:r>
      <w:r w:rsidRPr="00807826">
        <w:rPr>
          <w:rFonts w:asciiTheme="minorBidi" w:hAnsiTheme="minorBidi"/>
          <w:color w:val="231F20"/>
        </w:rPr>
        <w:t xml:space="preserve">(7696 kg/h). </w:t>
      </w:r>
      <w:r>
        <w:rPr>
          <w:rFonts w:asciiTheme="minorBidi" w:hAnsiTheme="minorBidi"/>
          <w:noProof/>
          <w:color w:val="231F20"/>
        </w:rPr>
        <w:drawing>
          <wp:anchor distT="0" distB="0" distL="114300" distR="114300" simplePos="0" relativeHeight="251667456" behindDoc="0" locked="0" layoutInCell="1" allowOverlap="1" wp14:anchorId="73E68023" wp14:editId="57582315">
            <wp:simplePos x="0" y="0"/>
            <wp:positionH relativeFrom="margin">
              <wp:align>left</wp:align>
            </wp:positionH>
            <wp:positionV relativeFrom="paragraph">
              <wp:posOffset>596265</wp:posOffset>
            </wp:positionV>
            <wp:extent cx="6050280" cy="4701540"/>
            <wp:effectExtent l="0" t="0" r="7620" b="3810"/>
            <wp:wrapSquare wrapText="bothSides"/>
            <wp:docPr id="1334283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07826">
        <w:rPr>
          <w:rFonts w:asciiTheme="minorBidi" w:hAnsiTheme="minorBidi"/>
          <w:color w:val="231F20"/>
        </w:rPr>
        <w:t>Both values are shown in the right pane of Figure 16.9.</w:t>
      </w:r>
    </w:p>
    <w:p w14:paraId="43A22070" w14:textId="524E6424" w:rsidR="00807826" w:rsidRDefault="00807826" w:rsidP="0080782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08B091A3" w14:textId="72263060" w:rsidR="00807826" w:rsidRPr="000814C5" w:rsidRDefault="00807826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  <w:sz w:val="24"/>
          <w:szCs w:val="24"/>
        </w:rPr>
      </w:pPr>
      <w:r w:rsidRPr="000814C5">
        <w:rPr>
          <w:rFonts w:asciiTheme="minorBidi" w:hAnsiTheme="minorBidi"/>
          <w:color w:val="231F20"/>
          <w:sz w:val="24"/>
          <w:szCs w:val="24"/>
        </w:rPr>
        <w:t>The fifth and last “Line Sizing” tab pertains to the line sizing of the inlet and outlet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pipe. Figure 16.10 shows that we need to specify both the nominal diameter and schedule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number for both inlet and outlet pipe. Here again, we have to play tricks such that the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selected nominal diameter does not end up with an undesired result. Specifically, at a very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low nominal diameter value, we violate the pressure drop limitation on both inlet and outlet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side of the PSV. So, start simple and grow up in size until you get the green strip.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This makes our life green and all required specifications are entered. What is next? Have</w:t>
      </w:r>
      <w:r w:rsidR="000814C5" w:rsidRPr="000814C5">
        <w:rPr>
          <w:rFonts w:asciiTheme="minorBidi" w:hAnsiTheme="minorBidi"/>
          <w:color w:val="231F20"/>
          <w:sz w:val="24"/>
          <w:szCs w:val="24"/>
        </w:rPr>
        <w:t xml:space="preserve"> </w:t>
      </w:r>
      <w:r w:rsidRPr="000814C5">
        <w:rPr>
          <w:rFonts w:asciiTheme="minorBidi" w:hAnsiTheme="minorBidi"/>
          <w:color w:val="231F20"/>
          <w:sz w:val="24"/>
          <w:szCs w:val="24"/>
        </w:rPr>
        <w:t>a nap; it is now safe.</w:t>
      </w:r>
    </w:p>
    <w:p w14:paraId="62E47DBF" w14:textId="00480349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5574111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42155D09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1537DB7C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734A210" w14:textId="20E54E62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  <w:color w:val="231F20"/>
        </w:rPr>
        <w:lastRenderedPageBreak/>
        <w:drawing>
          <wp:anchor distT="0" distB="0" distL="114300" distR="114300" simplePos="0" relativeHeight="251669504" behindDoc="0" locked="0" layoutInCell="1" allowOverlap="1" wp14:anchorId="5CC46558" wp14:editId="17FCC30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050280" cy="3246120"/>
            <wp:effectExtent l="0" t="0" r="7620" b="0"/>
            <wp:wrapSquare wrapText="bothSides"/>
            <wp:docPr id="15465458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7DD5E5" w14:textId="14E7EFC0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68D5C287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6350D85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E36EC5F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61DB8083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F5BEA96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52F85338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00E08682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9BB78E0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1169947E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329CBDFB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6E845BEE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16EE234C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7788EB71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905E118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477E2F46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4760F24C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35F36D46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4BF94812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292B2ABD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18166921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5CEEF435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7A1C485D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6C819A47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36B4FFE8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5FC14FFF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72D96181" w14:textId="004FDFD2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color w:val="231F20"/>
        </w:rPr>
        <w:lastRenderedPageBreak/>
        <w:t>Part 2</w:t>
      </w:r>
    </w:p>
    <w:p w14:paraId="25D86A90" w14:textId="77777777" w:rsid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</w:p>
    <w:p w14:paraId="6BC01A06" w14:textId="4606BB5C" w:rsidR="000814C5" w:rsidRPr="000814C5" w:rsidRDefault="000814C5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0814C5">
        <w:rPr>
          <w:rFonts w:asciiTheme="minorBidi" w:hAnsiTheme="minorBidi"/>
          <w:color w:val="231F20"/>
        </w:rPr>
        <w:t>ADDING A RUPTURE DISK (RD)</w:t>
      </w:r>
    </w:p>
    <w:p w14:paraId="05BFD5E8" w14:textId="37FE3B1E" w:rsidR="000814C5" w:rsidRDefault="004369F6" w:rsidP="000814C5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  <w:color w:val="231F20"/>
        </w:rPr>
        <w:drawing>
          <wp:anchor distT="0" distB="0" distL="114300" distR="114300" simplePos="0" relativeHeight="251670528" behindDoc="0" locked="0" layoutInCell="1" allowOverlap="1" wp14:anchorId="13B3D655" wp14:editId="67D42525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6050280" cy="2743200"/>
            <wp:effectExtent l="0" t="0" r="7620" b="0"/>
            <wp:wrapSquare wrapText="bothSides"/>
            <wp:docPr id="1101957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814C5" w:rsidRPr="000814C5">
        <w:rPr>
          <w:rFonts w:asciiTheme="minorBidi" w:hAnsiTheme="minorBidi"/>
          <w:color w:val="231F20"/>
        </w:rPr>
        <w:t>In the same manner as we did with adding a PSV, we can add a rupture disk and hook it to</w:t>
      </w:r>
      <w:r w:rsidR="000814C5" w:rsidRPr="000814C5">
        <w:rPr>
          <w:rFonts w:asciiTheme="minorBidi" w:hAnsiTheme="minorBidi"/>
          <w:color w:val="231F20"/>
        </w:rPr>
        <w:t xml:space="preserve"> </w:t>
      </w:r>
      <w:r w:rsidR="000814C5" w:rsidRPr="000814C5">
        <w:rPr>
          <w:rFonts w:asciiTheme="minorBidi" w:hAnsiTheme="minorBidi"/>
          <w:color w:val="231F20"/>
        </w:rPr>
        <w:t>the top liquid NGL (“NGL-PROD”) stream as shown in Figure 16.11.</w:t>
      </w:r>
    </w:p>
    <w:p w14:paraId="12C0AEE8" w14:textId="77777777" w:rsidR="004369F6" w:rsidRPr="004369F6" w:rsidRDefault="004369F6" w:rsidP="004369F6">
      <w:pPr>
        <w:rPr>
          <w:rFonts w:asciiTheme="minorBidi" w:hAnsiTheme="minorBidi"/>
        </w:rPr>
      </w:pPr>
    </w:p>
    <w:p w14:paraId="036C5B53" w14:textId="4840FC3C" w:rsidR="004369F6" w:rsidRPr="004369F6" w:rsidRDefault="004369F6" w:rsidP="004369F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4369F6">
        <w:rPr>
          <w:rFonts w:asciiTheme="minorBidi" w:hAnsiTheme="minorBidi"/>
          <w:color w:val="231F20"/>
        </w:rPr>
        <w:t>Figure 16.12 shows the “Equipment” tab form where the “</w:t>
      </w:r>
      <w:r w:rsidRPr="004369F6">
        <w:rPr>
          <w:rFonts w:asciiTheme="minorBidi" w:hAnsiTheme="minorBidi"/>
          <w:i/>
          <w:iCs/>
          <w:color w:val="231F20"/>
        </w:rPr>
        <w:t>Reference</w:t>
      </w:r>
      <w:r w:rsidRPr="004369F6">
        <w:rPr>
          <w:rFonts w:asciiTheme="minorBidi" w:hAnsiTheme="minorBidi"/>
          <w:color w:val="231F20"/>
        </w:rPr>
        <w:t>” option is selected</w:t>
      </w:r>
      <w:r w:rsidRPr="004369F6">
        <w:rPr>
          <w:rFonts w:asciiTheme="minorBidi" w:hAnsiTheme="minorBidi"/>
          <w:color w:val="231F20"/>
        </w:rPr>
        <w:t xml:space="preserve"> </w:t>
      </w:r>
      <w:r w:rsidRPr="004369F6">
        <w:rPr>
          <w:rFonts w:asciiTheme="minorBidi" w:hAnsiTheme="minorBidi"/>
          <w:color w:val="231F20"/>
        </w:rPr>
        <w:t>versus the “</w:t>
      </w:r>
      <w:r w:rsidRPr="004369F6">
        <w:rPr>
          <w:rFonts w:asciiTheme="minorBidi" w:hAnsiTheme="minorBidi"/>
          <w:i/>
          <w:iCs/>
          <w:color w:val="231F20"/>
        </w:rPr>
        <w:t>Manual</w:t>
      </w:r>
      <w:r w:rsidRPr="004369F6">
        <w:rPr>
          <w:rFonts w:asciiTheme="minorBidi" w:hAnsiTheme="minorBidi"/>
          <w:color w:val="231F20"/>
        </w:rPr>
        <w:t>”.</w:t>
      </w:r>
    </w:p>
    <w:p w14:paraId="4250C0F2" w14:textId="55BBDD21" w:rsidR="004369F6" w:rsidRPr="004369F6" w:rsidRDefault="004369F6" w:rsidP="004369F6">
      <w:pPr>
        <w:rPr>
          <w:rFonts w:asciiTheme="minorBidi" w:hAnsiTheme="minorBidi"/>
        </w:rPr>
      </w:pPr>
    </w:p>
    <w:p w14:paraId="3542491D" w14:textId="57FA3699" w:rsidR="004369F6" w:rsidRPr="004369F6" w:rsidRDefault="004369F6" w:rsidP="004369F6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 wp14:anchorId="25F33673" wp14:editId="7AD398B5">
            <wp:simplePos x="0" y="0"/>
            <wp:positionH relativeFrom="column">
              <wp:posOffset>1135380</wp:posOffset>
            </wp:positionH>
            <wp:positionV relativeFrom="paragraph">
              <wp:posOffset>5715</wp:posOffset>
            </wp:positionV>
            <wp:extent cx="3878580" cy="1775460"/>
            <wp:effectExtent l="0" t="0" r="7620" b="0"/>
            <wp:wrapSquare wrapText="bothSides"/>
            <wp:docPr id="172974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43B4B9" w14:textId="77777777" w:rsidR="004369F6" w:rsidRPr="004369F6" w:rsidRDefault="004369F6" w:rsidP="004369F6">
      <w:pPr>
        <w:rPr>
          <w:rFonts w:asciiTheme="minorBidi" w:hAnsiTheme="minorBidi"/>
        </w:rPr>
      </w:pPr>
    </w:p>
    <w:p w14:paraId="148E485E" w14:textId="77777777" w:rsidR="004369F6" w:rsidRPr="004369F6" w:rsidRDefault="004369F6" w:rsidP="004369F6">
      <w:pPr>
        <w:rPr>
          <w:rFonts w:asciiTheme="minorBidi" w:hAnsiTheme="minorBidi"/>
        </w:rPr>
      </w:pPr>
    </w:p>
    <w:p w14:paraId="5654D01F" w14:textId="77777777" w:rsidR="004369F6" w:rsidRPr="004369F6" w:rsidRDefault="004369F6" w:rsidP="004369F6">
      <w:pPr>
        <w:rPr>
          <w:rFonts w:asciiTheme="minorBidi" w:hAnsiTheme="minorBidi"/>
        </w:rPr>
      </w:pPr>
    </w:p>
    <w:p w14:paraId="22F2519D" w14:textId="77777777" w:rsidR="004369F6" w:rsidRPr="004369F6" w:rsidRDefault="004369F6" w:rsidP="004369F6">
      <w:pPr>
        <w:rPr>
          <w:rFonts w:asciiTheme="minorBidi" w:hAnsiTheme="minorBidi"/>
        </w:rPr>
      </w:pPr>
    </w:p>
    <w:p w14:paraId="1F44439F" w14:textId="77777777" w:rsidR="004369F6" w:rsidRPr="004369F6" w:rsidRDefault="004369F6" w:rsidP="004369F6">
      <w:pPr>
        <w:rPr>
          <w:rFonts w:asciiTheme="minorBidi" w:hAnsiTheme="minorBidi"/>
        </w:rPr>
      </w:pPr>
    </w:p>
    <w:p w14:paraId="576562ED" w14:textId="41C99731" w:rsidR="004369F6" w:rsidRPr="004369F6" w:rsidRDefault="004369F6" w:rsidP="004369F6">
      <w:pPr>
        <w:rPr>
          <w:rFonts w:asciiTheme="minorBidi" w:hAnsiTheme="minorBidi"/>
        </w:rPr>
      </w:pPr>
    </w:p>
    <w:p w14:paraId="43AC1402" w14:textId="6DB9FA21" w:rsidR="004369F6" w:rsidRDefault="0011084D" w:rsidP="0011084D">
      <w:pPr>
        <w:jc w:val="both"/>
        <w:rPr>
          <w:rFonts w:asciiTheme="minorBidi" w:hAnsiTheme="minorBidi"/>
          <w:color w:val="231F20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2576" behindDoc="0" locked="0" layoutInCell="1" allowOverlap="1" wp14:anchorId="0F89E5F7" wp14:editId="646098C0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6271260" cy="883920"/>
            <wp:effectExtent l="0" t="0" r="0" b="0"/>
            <wp:wrapSquare wrapText="bothSides"/>
            <wp:docPr id="11601390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84D">
        <w:rPr>
          <w:rFonts w:asciiTheme="minorBidi" w:hAnsiTheme="minorBidi"/>
          <w:color w:val="231F20"/>
        </w:rPr>
        <w:t>Figure 16.13 shows the creation of a scenario to be associated with “</w:t>
      </w:r>
      <w:r w:rsidRPr="0011084D">
        <w:rPr>
          <w:rFonts w:asciiTheme="minorBidi" w:hAnsiTheme="minorBidi"/>
          <w:b/>
          <w:bCs/>
          <w:color w:val="231F20"/>
        </w:rPr>
        <w:t>RD-1</w:t>
      </w:r>
      <w:r w:rsidRPr="0011084D">
        <w:rPr>
          <w:rFonts w:asciiTheme="minorBidi" w:hAnsiTheme="minorBidi"/>
          <w:color w:val="231F20"/>
        </w:rPr>
        <w:t>” disk.</w:t>
      </w:r>
    </w:p>
    <w:p w14:paraId="6FDA2EC2" w14:textId="27A2017C" w:rsidR="0011084D" w:rsidRPr="0011084D" w:rsidRDefault="0011084D" w:rsidP="0011084D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231F20"/>
        </w:rPr>
      </w:pPr>
      <w:r w:rsidRPr="0011084D">
        <w:rPr>
          <w:rFonts w:asciiTheme="minorBidi" w:hAnsiTheme="minorBidi"/>
          <w:color w:val="231F20"/>
        </w:rPr>
        <w:lastRenderedPageBreak/>
        <w:t>Highlight the scenario (“SCEN-2”) for “RD-1” disk and click on “Open Scenario”</w:t>
      </w:r>
      <w:r w:rsidRPr="0011084D">
        <w:rPr>
          <w:rFonts w:asciiTheme="minorBidi" w:hAnsiTheme="minorBidi"/>
          <w:color w:val="231F20"/>
        </w:rPr>
        <w:t xml:space="preserve"> </w:t>
      </w:r>
      <w:r w:rsidRPr="0011084D">
        <w:rPr>
          <w:rFonts w:asciiTheme="minorBidi" w:hAnsiTheme="minorBidi"/>
          <w:color w:val="231F20"/>
        </w:rPr>
        <w:t>button to enter the scenario type and any required input data. Figure 16.14 shows the</w:t>
      </w:r>
      <w:r w:rsidRPr="0011084D">
        <w:rPr>
          <w:rFonts w:asciiTheme="minorBidi" w:hAnsiTheme="minorBidi"/>
          <w:color w:val="231F20"/>
        </w:rPr>
        <w:t xml:space="preserve"> </w:t>
      </w:r>
      <w:r w:rsidRPr="0011084D">
        <w:rPr>
          <w:rFonts w:asciiTheme="minorBidi" w:hAnsiTheme="minorBidi"/>
          <w:color w:val="231F20"/>
        </w:rPr>
        <w:t>“Scenario Setup” tab form where we need to enter the</w:t>
      </w:r>
      <w:r w:rsidRPr="0011084D">
        <w:rPr>
          <w:rFonts w:asciiTheme="minorBidi" w:hAnsiTheme="minorBidi"/>
          <w:color w:val="231F20"/>
        </w:rPr>
        <w:t xml:space="preserve"> </w:t>
      </w:r>
      <w:r w:rsidRPr="0011084D">
        <w:rPr>
          <w:rFonts w:asciiTheme="minorBidi" w:hAnsiTheme="minorBidi"/>
          <w:color w:val="231F20"/>
        </w:rPr>
        <w:t>“Scenario Type”, the “Relieving</w:t>
      </w:r>
      <w:r w:rsidRPr="0011084D">
        <w:rPr>
          <w:rFonts w:asciiTheme="minorBidi" w:hAnsiTheme="minorBidi"/>
          <w:color w:val="231F20"/>
        </w:rPr>
        <w:t xml:space="preserve"> </w:t>
      </w:r>
      <w:r w:rsidRPr="0011084D">
        <w:rPr>
          <w:rFonts w:asciiTheme="minorBidi" w:hAnsiTheme="minorBidi"/>
          <w:color w:val="231F20"/>
        </w:rPr>
        <w:t>Phase Method”, the “Relieving Flow Method”, and rupture disk diameter. Points worth</w:t>
      </w:r>
      <w:r w:rsidRPr="0011084D">
        <w:rPr>
          <w:rFonts w:asciiTheme="minorBidi" w:hAnsiTheme="minorBidi"/>
          <w:color w:val="231F20"/>
        </w:rPr>
        <w:t xml:space="preserve"> </w:t>
      </w:r>
      <w:r w:rsidRPr="0011084D">
        <w:rPr>
          <w:rFonts w:asciiTheme="minorBidi" w:hAnsiTheme="minorBidi"/>
          <w:color w:val="231F20"/>
        </w:rPr>
        <w:t>mentioning here are as follows:</w:t>
      </w:r>
    </w:p>
    <w:p w14:paraId="70E986BF" w14:textId="6505B995" w:rsidR="0011084D" w:rsidRDefault="0011084D" w:rsidP="0011084D">
      <w:pPr>
        <w:jc w:val="both"/>
        <w:rPr>
          <w:rFonts w:asciiTheme="minorBidi" w:hAnsiTheme="minorBidi"/>
          <w:color w:val="231F20"/>
        </w:rPr>
      </w:pPr>
    </w:p>
    <w:p w14:paraId="0C9E5E91" w14:textId="77F1252E" w:rsidR="0011084D" w:rsidRDefault="0011084D" w:rsidP="0011084D">
      <w:pPr>
        <w:jc w:val="both"/>
        <w:rPr>
          <w:rFonts w:asciiTheme="minorBidi" w:hAnsiTheme="minorBidi"/>
        </w:rPr>
      </w:pPr>
    </w:p>
    <w:p w14:paraId="0091BE46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3092DDEA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0945FA7A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067C996C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7B1AC5DA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29FAD640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13979D71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4E4612D4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378CD216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16516501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51C611E9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3387925B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5844A756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5B64C267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0DCB2726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141F76B2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6182FBF9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78AD7384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6F403D96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016C7A59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0B040813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57423768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1FE67542" w14:textId="77777777" w:rsidR="00CF6F61" w:rsidRDefault="00CF6F61" w:rsidP="0011084D">
      <w:pPr>
        <w:jc w:val="both"/>
        <w:rPr>
          <w:rFonts w:asciiTheme="minorBidi" w:hAnsiTheme="minorBidi"/>
        </w:rPr>
      </w:pPr>
    </w:p>
    <w:p w14:paraId="35DED5E7" w14:textId="2F52182D" w:rsidR="00CF6F61" w:rsidRDefault="00CF6F61" w:rsidP="0011084D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Part 3</w:t>
      </w:r>
    </w:p>
    <w:p w14:paraId="004EC865" w14:textId="1F33621B" w:rsidR="00CF6F61" w:rsidRDefault="00753DB2" w:rsidP="0011084D">
      <w:pPr>
        <w:jc w:val="both"/>
        <w:rPr>
          <w:rFonts w:asciiTheme="minorBidi" w:hAnsiTheme="minorBidi"/>
          <w:noProof/>
        </w:rPr>
      </w:pPr>
      <w:r>
        <w:rPr>
          <w:rFonts w:asciiTheme="minorBidi" w:hAnsiTheme="minorBidi"/>
          <w:noProof/>
        </w:rPr>
        <w:drawing>
          <wp:inline distT="0" distB="0" distL="0" distR="0" wp14:anchorId="0837EAF9" wp14:editId="7B1081FB">
            <wp:extent cx="5928360" cy="2758440"/>
            <wp:effectExtent l="0" t="0" r="0" b="3810"/>
            <wp:docPr id="11858619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33AD" w14:textId="11476593" w:rsidR="00753DB2" w:rsidRPr="00753DB2" w:rsidRDefault="00753DB2" w:rsidP="00753DB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3D2B8CBB" wp14:editId="541C13AC">
            <wp:simplePos x="0" y="0"/>
            <wp:positionH relativeFrom="column">
              <wp:posOffset>876300</wp:posOffset>
            </wp:positionH>
            <wp:positionV relativeFrom="paragraph">
              <wp:posOffset>104140</wp:posOffset>
            </wp:positionV>
            <wp:extent cx="4023360" cy="1866900"/>
            <wp:effectExtent l="0" t="0" r="0" b="0"/>
            <wp:wrapSquare wrapText="bothSides"/>
            <wp:docPr id="19068553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3DB2" w:rsidRPr="00753DB2">
      <w:head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EA874" w14:textId="77777777" w:rsidR="006240F8" w:rsidRDefault="006240F8" w:rsidP="00550E73">
      <w:pPr>
        <w:spacing w:after="0" w:line="240" w:lineRule="auto"/>
      </w:pPr>
      <w:r>
        <w:separator/>
      </w:r>
    </w:p>
  </w:endnote>
  <w:endnote w:type="continuationSeparator" w:id="0">
    <w:p w14:paraId="412AF8DA" w14:textId="77777777" w:rsidR="006240F8" w:rsidRDefault="006240F8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LTStd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IXMath-Regular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FCE4B" w14:textId="77777777" w:rsidR="006240F8" w:rsidRDefault="006240F8" w:rsidP="00550E73">
      <w:pPr>
        <w:spacing w:after="0" w:line="240" w:lineRule="auto"/>
      </w:pPr>
      <w:r>
        <w:separator/>
      </w:r>
    </w:p>
  </w:footnote>
  <w:footnote w:type="continuationSeparator" w:id="0">
    <w:p w14:paraId="0EF776D0" w14:textId="77777777" w:rsidR="006240F8" w:rsidRDefault="006240F8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FA8A" w14:textId="77777777" w:rsidR="005424AD" w:rsidRDefault="005424AD" w:rsidP="005424A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F03B99" wp14:editId="632B5537">
          <wp:simplePos x="0" y="0"/>
          <wp:positionH relativeFrom="margin">
            <wp:posOffset>117475</wp:posOffset>
          </wp:positionH>
          <wp:positionV relativeFrom="paragraph">
            <wp:posOffset>6350</wp:posOffset>
          </wp:positionV>
          <wp:extent cx="922020" cy="838200"/>
          <wp:effectExtent l="0" t="0" r="0" b="0"/>
          <wp:wrapSquare wrapText="bothSides"/>
          <wp:docPr id="176241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8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</w:t>
    </w:r>
  </w:p>
  <w:p w14:paraId="1E142CF1" w14:textId="77777777" w:rsidR="005424AD" w:rsidRDefault="005424AD" w:rsidP="005424AD">
    <w:pPr>
      <w:pStyle w:val="Header"/>
    </w:pPr>
    <w:r>
      <w:t xml:space="preserve">                 </w:t>
    </w:r>
  </w:p>
  <w:p w14:paraId="070CE4DC" w14:textId="77777777" w:rsidR="005424AD" w:rsidRPr="00F444F0" w:rsidRDefault="005424AD" w:rsidP="005424AD">
    <w:pPr>
      <w:pStyle w:val="Header"/>
      <w:rPr>
        <w:rFonts w:asciiTheme="minorBidi" w:hAnsiTheme="minorBidi"/>
        <w:color w:val="0099CC"/>
        <w:sz w:val="28"/>
        <w:szCs w:val="28"/>
      </w:rPr>
    </w:pPr>
    <w:r w:rsidRPr="00F444F0">
      <w:rPr>
        <w:rFonts w:asciiTheme="minorBidi" w:hAnsiTheme="minorBidi"/>
        <w:color w:val="0099CC"/>
        <w:sz w:val="28"/>
        <w:szCs w:val="28"/>
      </w:rPr>
      <w:t xml:space="preserve">Educational Institute for Equipment and Process Design                                                                                          </w:t>
    </w:r>
  </w:p>
  <w:p w14:paraId="14B46E18" w14:textId="77777777" w:rsidR="005424AD" w:rsidRDefault="005424AD" w:rsidP="005424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7109C2" wp14:editId="5B9004BB">
              <wp:simplePos x="0" y="0"/>
              <wp:positionH relativeFrom="column">
                <wp:posOffset>83127</wp:posOffset>
              </wp:positionH>
              <wp:positionV relativeFrom="paragraph">
                <wp:posOffset>319925</wp:posOffset>
              </wp:positionV>
              <wp:extent cx="5950297" cy="0"/>
              <wp:effectExtent l="0" t="0" r="0" b="0"/>
              <wp:wrapNone/>
              <wp:docPr id="201261678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029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7A1C2B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5.2pt" to="475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ZxwQEAAN8DAAAOAAAAZHJzL2Uyb0RvYy54bWysU8tu2zAQvAfoPxC815INOK0Eyzk4SC9B&#10;ErTJB9DU0iLAF0jGkv8+S0qWg7Yo0CAXilzuzM4OV5ubQStyBB+kNQ1dLkpKwHDbSnNo6Mvz3dfv&#10;lITITMuUNdDQEwR6s/1yteldDSvbWdWCJ0hiQt27hnYxurooAu9As7CwDgxeCus1i3j0h6L1rEd2&#10;rYpVWV4XvfWt85ZDCBi9HS/pNvMLATw+ChEgEtVQ1Bbz6vO6T2ux3bD64JnrJJ9ksA+o0EwaLDpT&#10;3bLIyKuXf1Bpyb0NVsQFt7qwQkgOuQfsZln+1s2vjjnIvaA5wc02hc+j5Q/HnXnyaEPvQh3ck09d&#10;DMLr9EV9ZMhmnWazYIiEY3BdrctV9Y0Sfr4rLkDnQ/wBVpO0aaiSJvXBana8DxGLYeo5JYWVIT1O&#10;T1Wuy5wWrJLtnVQqXQZ/2O+UJ0eW3rCsqt0uPRtSvEvDkzIYvHSRd/GkYCzwEwSRLepejhXSgMFM&#10;yzgHE5cTrzKYnWACJczASdq/gFN+gkIevv8Bz4hc2Zo4g7U01v9NdhzOksWYf3Zg7DtZsLftKb9v&#10;tganKDs3TXwa0/fnDL/8l9s3AAAA//8DAFBLAwQUAAYACAAAACEA+8iwEtwAAAAIAQAADwAAAGRy&#10;cy9kb3ducmV2LnhtbEyPwU7DMBBE70j8g7VI3KidgguEOBWKCKISF9oeOLqxiSPidRS7afh7FnGA&#10;4+yMZt8U69n3bLJj7AIqyBYCmMUmmA5bBftdfXUHLCaNRvcBrYIvG2Fdnp8VOjfhhG922qaWUQnG&#10;XCtwKQ0557Fx1uu4CINF8j7C6HUiObbcjPpE5b7nSyFW3OsO6YPTg62cbT63R69gVVf4bp5lqJ5e&#10;5FTL2+x14zKlLi/mxwdgyc7pLww/+IQOJTEdwhFNZD3p64ySCqS4AUb+vRRLYIffAy8L/n9A+Q0A&#10;AP//AwBQSwECLQAUAAYACAAAACEAtoM4kv4AAADhAQAAEwAAAAAAAAAAAAAAAAAAAAAAW0NvbnRl&#10;bnRfVHlwZXNdLnhtbFBLAQItABQABgAIAAAAIQA4/SH/1gAAAJQBAAALAAAAAAAAAAAAAAAAAC8B&#10;AABfcmVscy8ucmVsc1BLAQItABQABgAIAAAAIQDVRjZxwQEAAN8DAAAOAAAAAAAAAAAAAAAAAC4C&#10;AABkcnMvZTJvRG9jLnhtbFBLAQItABQABgAIAAAAIQD7yLAS3AAAAAgBAAAPAAAAAAAAAAAAAAAA&#10;ABsEAABkcnMvZG93bnJldi54bWxQSwUGAAAAAAQABADzAAAAJAUAAAAA&#10;" strokecolor="#09c" strokeweight="1.5pt">
              <v:stroke joinstyle="miter"/>
            </v:line>
          </w:pict>
        </mc:Fallback>
      </mc:AlternateContent>
    </w:r>
    <w:r>
      <w:t xml:space="preserve">  </w:t>
    </w:r>
  </w:p>
  <w:p w14:paraId="1B6931F3" w14:textId="0F31C706" w:rsidR="00815848" w:rsidRPr="00550E73" w:rsidRDefault="00550E73" w:rsidP="005424AD">
    <w:pPr>
      <w:pStyle w:val="Header"/>
    </w:pPr>
    <w:r w:rsidRPr="007B30AA">
      <w:rPr>
        <w:rFonts w:asciiTheme="minorBidi" w:hAnsiTheme="minorBidi"/>
        <w:b/>
        <w:bCs/>
      </w:rPr>
      <w:t xml:space="preserve">        </w: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69F4"/>
    <w:multiLevelType w:val="hybridMultilevel"/>
    <w:tmpl w:val="018245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E6594B"/>
    <w:multiLevelType w:val="hybridMultilevel"/>
    <w:tmpl w:val="64E28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10AA7"/>
    <w:multiLevelType w:val="multilevel"/>
    <w:tmpl w:val="BBE2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3012494">
    <w:abstractNumId w:val="4"/>
  </w:num>
  <w:num w:numId="2" w16cid:durableId="891039323">
    <w:abstractNumId w:val="6"/>
  </w:num>
  <w:num w:numId="3" w16cid:durableId="303775032">
    <w:abstractNumId w:val="5"/>
  </w:num>
  <w:num w:numId="4" w16cid:durableId="1156727815">
    <w:abstractNumId w:val="1"/>
  </w:num>
  <w:num w:numId="5" w16cid:durableId="707490891">
    <w:abstractNumId w:val="2"/>
  </w:num>
  <w:num w:numId="6" w16cid:durableId="1774978846">
    <w:abstractNumId w:val="3"/>
  </w:num>
  <w:num w:numId="7" w16cid:durableId="1209104650">
    <w:abstractNumId w:val="7"/>
    <w:lvlOverride w:ilvl="0">
      <w:startOverride w:val="1"/>
    </w:lvlOverride>
  </w:num>
  <w:num w:numId="8" w16cid:durableId="1999965768">
    <w:abstractNumId w:val="7"/>
    <w:lvlOverride w:ilvl="0">
      <w:startOverride w:val="2"/>
    </w:lvlOverride>
  </w:num>
  <w:num w:numId="9" w16cid:durableId="1023287165">
    <w:abstractNumId w:val="7"/>
    <w:lvlOverride w:ilvl="0">
      <w:startOverride w:val="3"/>
    </w:lvlOverride>
  </w:num>
  <w:num w:numId="10" w16cid:durableId="883758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1BF1"/>
    <w:rsid w:val="00011DC6"/>
    <w:rsid w:val="00014738"/>
    <w:rsid w:val="00030047"/>
    <w:rsid w:val="00031C67"/>
    <w:rsid w:val="00042EBD"/>
    <w:rsid w:val="00062C31"/>
    <w:rsid w:val="00065A61"/>
    <w:rsid w:val="00071319"/>
    <w:rsid w:val="000814C5"/>
    <w:rsid w:val="00091DD9"/>
    <w:rsid w:val="00096752"/>
    <w:rsid w:val="000A3402"/>
    <w:rsid w:val="000B0AAF"/>
    <w:rsid w:val="000C2204"/>
    <w:rsid w:val="000D5DD0"/>
    <w:rsid w:val="000F0C8A"/>
    <w:rsid w:val="000F3BC0"/>
    <w:rsid w:val="000F412C"/>
    <w:rsid w:val="0010007F"/>
    <w:rsid w:val="0011084D"/>
    <w:rsid w:val="001152E1"/>
    <w:rsid w:val="00123952"/>
    <w:rsid w:val="00125D5B"/>
    <w:rsid w:val="0013055F"/>
    <w:rsid w:val="0013783E"/>
    <w:rsid w:val="00164930"/>
    <w:rsid w:val="001673BA"/>
    <w:rsid w:val="001728C6"/>
    <w:rsid w:val="0018382E"/>
    <w:rsid w:val="001C5976"/>
    <w:rsid w:val="001D5998"/>
    <w:rsid w:val="00203DBE"/>
    <w:rsid w:val="00216C70"/>
    <w:rsid w:val="00216E49"/>
    <w:rsid w:val="0021768A"/>
    <w:rsid w:val="00240A04"/>
    <w:rsid w:val="00240DF8"/>
    <w:rsid w:val="00254702"/>
    <w:rsid w:val="002551AA"/>
    <w:rsid w:val="0026211C"/>
    <w:rsid w:val="00294D8B"/>
    <w:rsid w:val="002A74FE"/>
    <w:rsid w:val="002B3143"/>
    <w:rsid w:val="002D1991"/>
    <w:rsid w:val="002D7DEB"/>
    <w:rsid w:val="002E0E13"/>
    <w:rsid w:val="002E1297"/>
    <w:rsid w:val="002E1699"/>
    <w:rsid w:val="0034311E"/>
    <w:rsid w:val="00346937"/>
    <w:rsid w:val="003719ED"/>
    <w:rsid w:val="00376219"/>
    <w:rsid w:val="0039751A"/>
    <w:rsid w:val="003A3462"/>
    <w:rsid w:val="003A3BF9"/>
    <w:rsid w:val="003A683B"/>
    <w:rsid w:val="003E35DC"/>
    <w:rsid w:val="003E5CB0"/>
    <w:rsid w:val="003F3F1C"/>
    <w:rsid w:val="00407A41"/>
    <w:rsid w:val="00421588"/>
    <w:rsid w:val="00435BE8"/>
    <w:rsid w:val="004369F6"/>
    <w:rsid w:val="00441E0F"/>
    <w:rsid w:val="004647C2"/>
    <w:rsid w:val="00467EC7"/>
    <w:rsid w:val="00473D39"/>
    <w:rsid w:val="004860B4"/>
    <w:rsid w:val="004A736D"/>
    <w:rsid w:val="004B34AE"/>
    <w:rsid w:val="004C4143"/>
    <w:rsid w:val="004D5931"/>
    <w:rsid w:val="004F2709"/>
    <w:rsid w:val="00502170"/>
    <w:rsid w:val="00515DF2"/>
    <w:rsid w:val="005320D2"/>
    <w:rsid w:val="00534669"/>
    <w:rsid w:val="005424AD"/>
    <w:rsid w:val="0054480F"/>
    <w:rsid w:val="005465DD"/>
    <w:rsid w:val="00550E73"/>
    <w:rsid w:val="005636E3"/>
    <w:rsid w:val="005821A2"/>
    <w:rsid w:val="005A4F95"/>
    <w:rsid w:val="005B016A"/>
    <w:rsid w:val="005B14C5"/>
    <w:rsid w:val="005B2A6D"/>
    <w:rsid w:val="005D4389"/>
    <w:rsid w:val="005E1077"/>
    <w:rsid w:val="006133DF"/>
    <w:rsid w:val="00622A59"/>
    <w:rsid w:val="006240F8"/>
    <w:rsid w:val="0063464F"/>
    <w:rsid w:val="00645EF6"/>
    <w:rsid w:val="00647ECD"/>
    <w:rsid w:val="00654FC1"/>
    <w:rsid w:val="00661C3C"/>
    <w:rsid w:val="00666E27"/>
    <w:rsid w:val="006758CC"/>
    <w:rsid w:val="00676370"/>
    <w:rsid w:val="00686E1E"/>
    <w:rsid w:val="00687440"/>
    <w:rsid w:val="006874C2"/>
    <w:rsid w:val="00693054"/>
    <w:rsid w:val="006B56E5"/>
    <w:rsid w:val="006B6521"/>
    <w:rsid w:val="0070182A"/>
    <w:rsid w:val="00732158"/>
    <w:rsid w:val="00753DB2"/>
    <w:rsid w:val="00761AA4"/>
    <w:rsid w:val="00784EA6"/>
    <w:rsid w:val="007A0036"/>
    <w:rsid w:val="007A60B3"/>
    <w:rsid w:val="007B30AA"/>
    <w:rsid w:val="007B3C8A"/>
    <w:rsid w:val="007D0A0E"/>
    <w:rsid w:val="007D240C"/>
    <w:rsid w:val="007F3747"/>
    <w:rsid w:val="007F5026"/>
    <w:rsid w:val="007F71D3"/>
    <w:rsid w:val="00804B68"/>
    <w:rsid w:val="00807826"/>
    <w:rsid w:val="00815848"/>
    <w:rsid w:val="00816FD0"/>
    <w:rsid w:val="00824A1C"/>
    <w:rsid w:val="00831A8B"/>
    <w:rsid w:val="00846B9D"/>
    <w:rsid w:val="008519D3"/>
    <w:rsid w:val="00855DE0"/>
    <w:rsid w:val="00861158"/>
    <w:rsid w:val="00876EFC"/>
    <w:rsid w:val="00876F1A"/>
    <w:rsid w:val="008923D6"/>
    <w:rsid w:val="00896FED"/>
    <w:rsid w:val="008A73A0"/>
    <w:rsid w:val="008B24AB"/>
    <w:rsid w:val="008B4256"/>
    <w:rsid w:val="008C2F7A"/>
    <w:rsid w:val="008C3885"/>
    <w:rsid w:val="008C4A40"/>
    <w:rsid w:val="00900D87"/>
    <w:rsid w:val="00912258"/>
    <w:rsid w:val="009205D0"/>
    <w:rsid w:val="00956539"/>
    <w:rsid w:val="009A5946"/>
    <w:rsid w:val="009B2159"/>
    <w:rsid w:val="009B6618"/>
    <w:rsid w:val="009E6205"/>
    <w:rsid w:val="009F4134"/>
    <w:rsid w:val="00A01D0C"/>
    <w:rsid w:val="00A34E6E"/>
    <w:rsid w:val="00A72780"/>
    <w:rsid w:val="00B10DA8"/>
    <w:rsid w:val="00B13093"/>
    <w:rsid w:val="00B279B2"/>
    <w:rsid w:val="00B30AB6"/>
    <w:rsid w:val="00B4241A"/>
    <w:rsid w:val="00B50238"/>
    <w:rsid w:val="00B52B44"/>
    <w:rsid w:val="00B53B84"/>
    <w:rsid w:val="00B604E4"/>
    <w:rsid w:val="00B606A1"/>
    <w:rsid w:val="00B636E6"/>
    <w:rsid w:val="00B63784"/>
    <w:rsid w:val="00B7653D"/>
    <w:rsid w:val="00B92797"/>
    <w:rsid w:val="00BC61C1"/>
    <w:rsid w:val="00BD0BA6"/>
    <w:rsid w:val="00BD5159"/>
    <w:rsid w:val="00BF6AC9"/>
    <w:rsid w:val="00C10920"/>
    <w:rsid w:val="00C213B5"/>
    <w:rsid w:val="00C40939"/>
    <w:rsid w:val="00C527BF"/>
    <w:rsid w:val="00C61E91"/>
    <w:rsid w:val="00C63C3A"/>
    <w:rsid w:val="00C85E51"/>
    <w:rsid w:val="00C86C0B"/>
    <w:rsid w:val="00C94352"/>
    <w:rsid w:val="00CC2872"/>
    <w:rsid w:val="00CC5C43"/>
    <w:rsid w:val="00CD2D99"/>
    <w:rsid w:val="00CD6658"/>
    <w:rsid w:val="00CF0E93"/>
    <w:rsid w:val="00CF243C"/>
    <w:rsid w:val="00CF6F61"/>
    <w:rsid w:val="00D156CD"/>
    <w:rsid w:val="00D97E4B"/>
    <w:rsid w:val="00DA774F"/>
    <w:rsid w:val="00DB2513"/>
    <w:rsid w:val="00DB7EB4"/>
    <w:rsid w:val="00DD2003"/>
    <w:rsid w:val="00DF5063"/>
    <w:rsid w:val="00DF552E"/>
    <w:rsid w:val="00E0735D"/>
    <w:rsid w:val="00E53897"/>
    <w:rsid w:val="00E8794A"/>
    <w:rsid w:val="00EB09D4"/>
    <w:rsid w:val="00EB7DCB"/>
    <w:rsid w:val="00EC6DF8"/>
    <w:rsid w:val="00EC7B7C"/>
    <w:rsid w:val="00EE744F"/>
    <w:rsid w:val="00EF35A1"/>
    <w:rsid w:val="00F00C74"/>
    <w:rsid w:val="00F02051"/>
    <w:rsid w:val="00F07007"/>
    <w:rsid w:val="00F24A94"/>
    <w:rsid w:val="00F83DBC"/>
    <w:rsid w:val="00F910C1"/>
    <w:rsid w:val="00FE03EA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CF0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CF0E9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rsid w:val="00C21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213B5"/>
    <w:rPr>
      <w:color w:val="0000FF"/>
      <w:u w:val="single"/>
    </w:rPr>
  </w:style>
  <w:style w:type="character" w:customStyle="1" w:styleId="notranslate">
    <w:name w:val="notranslate"/>
    <w:basedOn w:val="DefaultParagraphFont"/>
    <w:rsid w:val="00C213B5"/>
  </w:style>
  <w:style w:type="paragraph" w:styleId="NoSpacing">
    <w:name w:val="No Spacing"/>
    <w:uiPriority w:val="1"/>
    <w:qFormat/>
    <w:rsid w:val="008B2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DFF60-BE63-4D81-99D7-6DE79AE4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2915</TotalTime>
  <Pages>1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36</cp:revision>
  <dcterms:created xsi:type="dcterms:W3CDTF">2022-10-17T07:24:00Z</dcterms:created>
  <dcterms:modified xsi:type="dcterms:W3CDTF">2023-08-23T17:31:00Z</dcterms:modified>
</cp:coreProperties>
</file>